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EE6E" w14:textId="11C38A59" w:rsidR="00A4519E" w:rsidRPr="00340CFF" w:rsidRDefault="00A4519E" w:rsidP="00B9579C">
      <w:pPr>
        <w:jc w:val="center"/>
        <w:rPr>
          <w:b/>
          <w:bCs/>
        </w:rPr>
      </w:pPr>
      <w:r w:rsidRPr="00340CFF">
        <w:rPr>
          <w:b/>
          <w:bCs/>
        </w:rPr>
        <w:t>AMBA Plant Scale Evaluation Program</w:t>
      </w:r>
    </w:p>
    <w:p w14:paraId="7820BACA" w14:textId="13114462" w:rsidR="00B9579C" w:rsidRPr="00340CFF" w:rsidRDefault="00B9579C" w:rsidP="00B9579C">
      <w:pPr>
        <w:jc w:val="center"/>
        <w:rPr>
          <w:b/>
          <w:bCs/>
        </w:rPr>
      </w:pPr>
    </w:p>
    <w:p w14:paraId="1AAAC681" w14:textId="198B8613" w:rsidR="00B9579C" w:rsidRDefault="00340CFF" w:rsidP="00B9579C">
      <w:pPr>
        <w:jc w:val="center"/>
        <w:rPr>
          <w:b/>
          <w:bCs/>
        </w:rPr>
      </w:pPr>
      <w:r w:rsidRPr="00C409F8">
        <w:rPr>
          <w:b/>
          <w:bCs/>
        </w:rPr>
        <w:t>Top Shelf (</w:t>
      </w:r>
      <w:r w:rsidR="00B9579C" w:rsidRPr="00340CFF">
        <w:rPr>
          <w:b/>
          <w:bCs/>
        </w:rPr>
        <w:t>DH1</w:t>
      </w:r>
      <w:r w:rsidR="00E722C0">
        <w:rPr>
          <w:b/>
          <w:bCs/>
        </w:rPr>
        <w:t>62310</w:t>
      </w:r>
      <w:r w:rsidRPr="00C409F8">
        <w:rPr>
          <w:b/>
          <w:bCs/>
        </w:rPr>
        <w:t xml:space="preserve">) </w:t>
      </w:r>
    </w:p>
    <w:p w14:paraId="222804A0" w14:textId="668173EB" w:rsidR="00ED2A0A" w:rsidRDefault="00BC2F00" w:rsidP="00B9579C">
      <w:pPr>
        <w:jc w:val="center"/>
        <w:rPr>
          <w:b/>
          <w:bCs/>
        </w:rPr>
      </w:pPr>
      <w:r>
        <w:rPr>
          <w:b/>
          <w:bCs/>
        </w:rPr>
        <w:t xml:space="preserve">GN0 </w:t>
      </w:r>
      <w:r w:rsidR="00ED2A0A">
        <w:rPr>
          <w:b/>
          <w:bCs/>
        </w:rPr>
        <w:t>Two-Row Winter Malting Barley</w:t>
      </w:r>
    </w:p>
    <w:p w14:paraId="71F510AD" w14:textId="77777777" w:rsidR="00ED2A0A" w:rsidRPr="00340CFF" w:rsidRDefault="00ED2A0A" w:rsidP="00B9579C">
      <w:pPr>
        <w:jc w:val="center"/>
        <w:rPr>
          <w:b/>
          <w:bCs/>
        </w:rPr>
      </w:pPr>
    </w:p>
    <w:p w14:paraId="248E04BA" w14:textId="5FC5F098" w:rsidR="00F939D3" w:rsidRPr="00340CFF" w:rsidRDefault="00F939D3" w:rsidP="00B9579C">
      <w:pPr>
        <w:jc w:val="center"/>
        <w:rPr>
          <w:bCs/>
        </w:rPr>
      </w:pPr>
      <w:r w:rsidRPr="00340CFF">
        <w:rPr>
          <w:bCs/>
        </w:rPr>
        <w:t>Patrick Hayes</w:t>
      </w:r>
      <w:r w:rsidR="00B9579C" w:rsidRPr="00340CFF">
        <w:rPr>
          <w:bCs/>
        </w:rPr>
        <w:t xml:space="preserve">, </w:t>
      </w:r>
      <w:r w:rsidR="00885503" w:rsidRPr="00340CFF">
        <w:rPr>
          <w:bCs/>
        </w:rPr>
        <w:t>Scott Fisk</w:t>
      </w:r>
      <w:r w:rsidR="00B9579C" w:rsidRPr="00340CFF">
        <w:rPr>
          <w:bCs/>
        </w:rPr>
        <w:t>, and the OSU Barley Project</w:t>
      </w:r>
    </w:p>
    <w:p w14:paraId="0AE19D31" w14:textId="31D4B785" w:rsidR="005A6FF2" w:rsidRPr="00340CFF" w:rsidRDefault="009F3CC4" w:rsidP="00B9579C">
      <w:pPr>
        <w:jc w:val="center"/>
        <w:rPr>
          <w:bCs/>
        </w:rPr>
      </w:pPr>
      <w:r w:rsidRPr="00340CFF">
        <w:rPr>
          <w:bCs/>
        </w:rPr>
        <w:t xml:space="preserve">Dept. </w:t>
      </w:r>
      <w:r w:rsidR="00F939D3" w:rsidRPr="00340CFF">
        <w:rPr>
          <w:bCs/>
        </w:rPr>
        <w:t>o</w:t>
      </w:r>
      <w:r w:rsidRPr="00340CFF">
        <w:rPr>
          <w:bCs/>
        </w:rPr>
        <w:t xml:space="preserve">f </w:t>
      </w:r>
      <w:r w:rsidR="00F939D3" w:rsidRPr="00340CFF">
        <w:rPr>
          <w:bCs/>
        </w:rPr>
        <w:t>Crop and Soil Science</w:t>
      </w:r>
      <w:r w:rsidR="00C409F8">
        <w:rPr>
          <w:bCs/>
        </w:rPr>
        <w:t xml:space="preserve">, </w:t>
      </w:r>
      <w:r w:rsidR="00F939D3" w:rsidRPr="00340CFF">
        <w:rPr>
          <w:bCs/>
        </w:rPr>
        <w:t xml:space="preserve">Oregon State </w:t>
      </w:r>
      <w:r w:rsidRPr="00340CFF">
        <w:rPr>
          <w:bCs/>
        </w:rPr>
        <w:t>University</w:t>
      </w:r>
    </w:p>
    <w:p w14:paraId="7DC29590" w14:textId="7F6BCF58" w:rsidR="003E2557" w:rsidRDefault="00B80883" w:rsidP="00B9579C">
      <w:pPr>
        <w:jc w:val="center"/>
        <w:rPr>
          <w:b/>
          <w:bCs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29482C" wp14:editId="5D76A339">
            <wp:simplePos x="0" y="0"/>
            <wp:positionH relativeFrom="column">
              <wp:posOffset>2596515</wp:posOffset>
            </wp:positionH>
            <wp:positionV relativeFrom="page">
              <wp:posOffset>2009775</wp:posOffset>
            </wp:positionV>
            <wp:extent cx="7620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060" y="21221"/>
                <wp:lineTo x="21060" y="0"/>
                <wp:lineTo x="0" y="0"/>
              </wp:wrapPolygon>
            </wp:wrapTight>
            <wp:docPr id="1289089653" name="Picture 1" descr="A drawing of a person working on a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89653" name="Picture 1" descr="A drawing of a person working on a shelf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" r="5597" b="27811"/>
                    <a:stretch/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80DB" w14:textId="5473F431" w:rsidR="003E2557" w:rsidRPr="00C409F8" w:rsidRDefault="003E2557" w:rsidP="00B9579C">
      <w:pPr>
        <w:jc w:val="center"/>
        <w:rPr>
          <w:b/>
          <w:bCs/>
          <w:highlight w:val="yellow"/>
        </w:rPr>
      </w:pPr>
    </w:p>
    <w:p w14:paraId="42B473F5" w14:textId="76E46806" w:rsidR="003E2557" w:rsidRDefault="003E2557" w:rsidP="00B25FFA">
      <w:pPr>
        <w:jc w:val="both"/>
        <w:rPr>
          <w:b/>
          <w:bCs/>
        </w:rPr>
      </w:pPr>
    </w:p>
    <w:p w14:paraId="50A72CA4" w14:textId="175AFDEB" w:rsidR="003E2557" w:rsidRDefault="003E2557" w:rsidP="00B25FFA">
      <w:pPr>
        <w:jc w:val="both"/>
        <w:rPr>
          <w:b/>
          <w:bCs/>
        </w:rPr>
      </w:pPr>
    </w:p>
    <w:p w14:paraId="5BBC10D6" w14:textId="4AD53DF6" w:rsidR="003E2557" w:rsidRDefault="003E2557" w:rsidP="00B25FFA">
      <w:pPr>
        <w:jc w:val="both"/>
        <w:rPr>
          <w:b/>
          <w:bCs/>
        </w:rPr>
      </w:pPr>
    </w:p>
    <w:p w14:paraId="4202EB02" w14:textId="77777777" w:rsidR="00C409F8" w:rsidRDefault="00C409F8" w:rsidP="00B25FFA">
      <w:pPr>
        <w:jc w:val="both"/>
        <w:rPr>
          <w:b/>
          <w:bCs/>
        </w:rPr>
      </w:pPr>
    </w:p>
    <w:p w14:paraId="2D5BD372" w14:textId="31D6BC2B" w:rsidR="006573E9" w:rsidRPr="00C409F8" w:rsidRDefault="006573E9" w:rsidP="00B25FFA">
      <w:pPr>
        <w:jc w:val="both"/>
        <w:rPr>
          <w:b/>
          <w:bCs/>
        </w:rPr>
      </w:pPr>
      <w:r w:rsidRPr="00C409F8">
        <w:rPr>
          <w:b/>
          <w:bCs/>
        </w:rPr>
        <w:t>Overview</w:t>
      </w:r>
    </w:p>
    <w:p w14:paraId="3AF39247" w14:textId="77777777" w:rsidR="00042BF3" w:rsidRDefault="00C409F8" w:rsidP="00042BF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409F8">
        <w:rPr>
          <w:iCs/>
        </w:rPr>
        <w:t xml:space="preserve">Top Shelf is the first </w:t>
      </w:r>
      <w:r w:rsidR="00541B74">
        <w:rPr>
          <w:iCs/>
        </w:rPr>
        <w:t xml:space="preserve">American-made </w:t>
      </w:r>
      <w:r w:rsidR="00402E4B" w:rsidRPr="00C409F8">
        <w:rPr>
          <w:iCs/>
        </w:rPr>
        <w:t>GN0 winter malting barley. This</w:t>
      </w:r>
      <w:r w:rsidR="00402E4B" w:rsidRPr="00C409F8">
        <w:t xml:space="preserve"> variety is perfect for distillers because it provides exceptional malt quality for both all-malt and grain/adjunct whiskey production. Top Shelf shows an excellent nitrogen response and when managed for high protein boasts a super enzyme and FAN package. When managed for low protein it has very high extract and PSY required for all-malt distilling. Why look to Europe for GN0 barley when the Top Shelf is right here?</w:t>
      </w:r>
    </w:p>
    <w:p w14:paraId="26721B8A" w14:textId="77777777" w:rsidR="00042BF3" w:rsidRDefault="00042BF3" w:rsidP="00042BF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</w:p>
    <w:p w14:paraId="37E6349A" w14:textId="215A761E" w:rsidR="006573E9" w:rsidRPr="00042BF3" w:rsidRDefault="006573E9" w:rsidP="00042BF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409F8">
        <w:rPr>
          <w:b/>
          <w:bCs/>
        </w:rPr>
        <w:t>Evaluation</w:t>
      </w:r>
    </w:p>
    <w:p w14:paraId="157CC426" w14:textId="1CCC8288" w:rsidR="006573E9" w:rsidRPr="00C409F8" w:rsidRDefault="00E722C0" w:rsidP="00042BF3">
      <w:r w:rsidRPr="00C409F8">
        <w:t xml:space="preserve">Top Shelf (DH162310) is a doubled haploid derived from the cross of DH130939/Calypso. DH130939 </w:t>
      </w:r>
      <w:bookmarkStart w:id="0" w:name="_Hlk89766930"/>
      <w:r w:rsidRPr="00C409F8">
        <w:t>is an experimental winter 2-row malting type from the OSU program.</w:t>
      </w:r>
      <w:bookmarkEnd w:id="0"/>
      <w:r w:rsidRPr="00C409F8">
        <w:t xml:space="preserve"> Calypso is marketed in the US by </w:t>
      </w:r>
      <w:proofErr w:type="spellStart"/>
      <w:r w:rsidRPr="00C409F8">
        <w:t>Limagrain</w:t>
      </w:r>
      <w:proofErr w:type="spellEnd"/>
      <w:r w:rsidRPr="00C409F8">
        <w:t xml:space="preserve"> Cereal Seeds. The cross was made in 2015 and the doubled haploid was produced in 2016. Top Shelf was advanced through </w:t>
      </w:r>
      <w:r w:rsidR="00541B74">
        <w:t>increasingly rigorous and larger-scale t</w:t>
      </w:r>
      <w:r w:rsidRPr="00C409F8">
        <w:t xml:space="preserve">rials based on agronomic and malting quality performance. </w:t>
      </w:r>
    </w:p>
    <w:p w14:paraId="071C3928" w14:textId="77777777" w:rsidR="00E722C0" w:rsidRPr="00C409F8" w:rsidRDefault="00E722C0" w:rsidP="00C409F8">
      <w:pPr>
        <w:rPr>
          <w:bCs/>
        </w:rPr>
      </w:pPr>
    </w:p>
    <w:p w14:paraId="6E7DB53A" w14:textId="77777777" w:rsidR="006573E9" w:rsidRPr="00C409F8" w:rsidRDefault="006573E9" w:rsidP="00B25FFA">
      <w:pPr>
        <w:jc w:val="both"/>
        <w:rPr>
          <w:b/>
          <w:bCs/>
        </w:rPr>
      </w:pPr>
      <w:r w:rsidRPr="00C409F8">
        <w:rPr>
          <w:b/>
          <w:bCs/>
        </w:rPr>
        <w:t>Performance</w:t>
      </w:r>
    </w:p>
    <w:p w14:paraId="41EC57B3" w14:textId="2826B79A" w:rsidR="00B9579C" w:rsidRPr="00C409F8" w:rsidRDefault="00E722C0" w:rsidP="00B25FFA">
      <w:pPr>
        <w:keepNext/>
        <w:jc w:val="both"/>
        <w:rPr>
          <w:b/>
          <w:bCs/>
        </w:rPr>
      </w:pPr>
      <w:r w:rsidRPr="00C409F8">
        <w:rPr>
          <w:bCs/>
        </w:rPr>
        <w:t>Top Shelf has shown excellent yield, grain physical quality and disease resistance (Table</w:t>
      </w:r>
      <w:r w:rsidR="00BC2F00">
        <w:rPr>
          <w:bCs/>
        </w:rPr>
        <w:t>s</w:t>
      </w:r>
      <w:r w:rsidRPr="00C409F8">
        <w:rPr>
          <w:bCs/>
        </w:rPr>
        <w:t xml:space="preserve"> 1</w:t>
      </w:r>
      <w:r w:rsidR="00BC2F00">
        <w:rPr>
          <w:bCs/>
        </w:rPr>
        <w:t xml:space="preserve"> and 2</w:t>
      </w:r>
      <w:r w:rsidRPr="00C409F8">
        <w:rPr>
          <w:bCs/>
        </w:rPr>
        <w:t xml:space="preserve">). In most trials there has been 100% winter survival; in the limited number of tests where there was differential winter survival, it is comparable to the checks (Table </w:t>
      </w:r>
      <w:r w:rsidR="00656A8E">
        <w:rPr>
          <w:bCs/>
        </w:rPr>
        <w:t>3</w:t>
      </w:r>
      <w:r w:rsidRPr="00C409F8">
        <w:rPr>
          <w:bCs/>
        </w:rPr>
        <w:t>). Top Shelf has excellent malting quality, with plenty of enzymes</w:t>
      </w:r>
      <w:r w:rsidR="00BC2F00">
        <w:rPr>
          <w:bCs/>
        </w:rPr>
        <w:t xml:space="preserve"> (Table 4). </w:t>
      </w:r>
      <w:r w:rsidRPr="00C409F8">
        <w:rPr>
          <w:bCs/>
        </w:rPr>
        <w:t xml:space="preserve">The PSY </w:t>
      </w:r>
      <w:r w:rsidR="00541B74">
        <w:rPr>
          <w:bCs/>
        </w:rPr>
        <w:t xml:space="preserve">is above the minimum specification </w:t>
      </w:r>
      <w:r w:rsidRPr="00C409F8">
        <w:rPr>
          <w:bCs/>
        </w:rPr>
        <w:t xml:space="preserve">(Table </w:t>
      </w:r>
      <w:r w:rsidR="00F126BC">
        <w:rPr>
          <w:bCs/>
        </w:rPr>
        <w:t>5</w:t>
      </w:r>
      <w:r w:rsidRPr="00C409F8">
        <w:rPr>
          <w:bCs/>
        </w:rPr>
        <w:t xml:space="preserve">) and nitrogen management can lead to a </w:t>
      </w:r>
      <w:r w:rsidR="00B743E4" w:rsidRPr="00C409F8">
        <w:rPr>
          <w:bCs/>
        </w:rPr>
        <w:t xml:space="preserve">range of </w:t>
      </w:r>
      <w:r w:rsidR="00D6284C" w:rsidRPr="00C409F8">
        <w:rPr>
          <w:bCs/>
        </w:rPr>
        <w:t>malting quality values, depending on the intended market (e.g. all-gra</w:t>
      </w:r>
      <w:r w:rsidR="00541B74">
        <w:rPr>
          <w:bCs/>
        </w:rPr>
        <w:t>i</w:t>
      </w:r>
      <w:r w:rsidR="00D6284C" w:rsidRPr="00C409F8">
        <w:rPr>
          <w:bCs/>
        </w:rPr>
        <w:t>n or adjunct)</w:t>
      </w:r>
      <w:r w:rsidR="00740096">
        <w:rPr>
          <w:bCs/>
        </w:rPr>
        <w:t xml:space="preserve"> (Table 6)</w:t>
      </w:r>
      <w:r w:rsidR="00D6284C" w:rsidRPr="00C409F8">
        <w:rPr>
          <w:bCs/>
        </w:rPr>
        <w:t xml:space="preserve">. </w:t>
      </w:r>
      <w:r w:rsidR="00B743E4" w:rsidRPr="00C409F8">
        <w:rPr>
          <w:bCs/>
        </w:rPr>
        <w:t xml:space="preserve"> </w:t>
      </w:r>
    </w:p>
    <w:p w14:paraId="1557F8BF" w14:textId="77777777" w:rsidR="00D6284C" w:rsidRPr="00C409F8" w:rsidRDefault="00D6284C" w:rsidP="00B25FFA">
      <w:pPr>
        <w:keepNext/>
        <w:jc w:val="both"/>
        <w:rPr>
          <w:b/>
          <w:bCs/>
        </w:rPr>
      </w:pPr>
    </w:p>
    <w:p w14:paraId="22ED3583" w14:textId="7C8855FE" w:rsidR="00F74B0E" w:rsidRPr="00C409F8" w:rsidRDefault="00F74B0E" w:rsidP="00B25FFA">
      <w:pPr>
        <w:keepNext/>
        <w:jc w:val="both"/>
        <w:rPr>
          <w:b/>
          <w:bCs/>
        </w:rPr>
      </w:pPr>
      <w:r w:rsidRPr="00C409F8">
        <w:rPr>
          <w:b/>
          <w:bCs/>
        </w:rPr>
        <w:t>Seed Production</w:t>
      </w:r>
    </w:p>
    <w:p w14:paraId="012AA102" w14:textId="4E4B1D22" w:rsidR="00F74B0E" w:rsidRPr="00C409F8" w:rsidRDefault="00AC3AC0" w:rsidP="00B25FFA">
      <w:pPr>
        <w:jc w:val="both"/>
        <w:rPr>
          <w:bCs/>
        </w:rPr>
      </w:pPr>
      <w:r w:rsidRPr="00C409F8">
        <w:rPr>
          <w:bCs/>
        </w:rPr>
        <w:t xml:space="preserve">Approximately </w:t>
      </w:r>
      <w:r w:rsidR="00D6284C" w:rsidRPr="00C409F8">
        <w:rPr>
          <w:bCs/>
        </w:rPr>
        <w:t xml:space="preserve">8,000 lbs. of Foundation seed will be available in </w:t>
      </w:r>
      <w:proofErr w:type="gramStart"/>
      <w:r w:rsidR="00D6284C" w:rsidRPr="00C409F8">
        <w:rPr>
          <w:bCs/>
        </w:rPr>
        <w:t>July,</w:t>
      </w:r>
      <w:proofErr w:type="gramEnd"/>
      <w:r w:rsidR="00D6284C" w:rsidRPr="00C409F8">
        <w:rPr>
          <w:bCs/>
        </w:rPr>
        <w:t xml:space="preserve"> 2024</w:t>
      </w:r>
      <w:r w:rsidR="00541B74">
        <w:rPr>
          <w:bCs/>
        </w:rPr>
        <w:t xml:space="preserve">. </w:t>
      </w:r>
      <w:r w:rsidRPr="00C409F8">
        <w:rPr>
          <w:bCs/>
        </w:rPr>
        <w:t xml:space="preserve"> </w:t>
      </w:r>
    </w:p>
    <w:p w14:paraId="5B6F88F7" w14:textId="77777777" w:rsidR="00AF1EDE" w:rsidRPr="00C409F8" w:rsidRDefault="00D407C2" w:rsidP="00D407C2">
      <w:pPr>
        <w:pStyle w:val="BodyText"/>
        <w:spacing w:line="240" w:lineRule="auto"/>
        <w:jc w:val="both"/>
        <w:rPr>
          <w:szCs w:val="24"/>
        </w:rPr>
      </w:pPr>
      <w:r w:rsidRPr="00C409F8">
        <w:rPr>
          <w:szCs w:val="24"/>
        </w:rPr>
        <w:t xml:space="preserve"> </w:t>
      </w:r>
    </w:p>
    <w:p w14:paraId="60E65142" w14:textId="7F1FFE11" w:rsidR="00251172" w:rsidRPr="00C409F8" w:rsidRDefault="00C409F8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>
        <w:rPr>
          <w:b/>
        </w:rPr>
        <w:t xml:space="preserve">Variety Release, </w:t>
      </w:r>
      <w:r w:rsidR="00251172" w:rsidRPr="00C409F8">
        <w:rPr>
          <w:b/>
        </w:rPr>
        <w:t>Adaptation and Probable Production Area</w:t>
      </w:r>
    </w:p>
    <w:p w14:paraId="7EC83AFF" w14:textId="171BA243" w:rsidR="00251172" w:rsidRPr="00C409F8" w:rsidRDefault="00D6284C">
      <w:r w:rsidRPr="00C409F8">
        <w:t>Top Shelf was released by Oregon State University in 2023 under non-exclusive license. The variety was developed f</w:t>
      </w:r>
      <w:r w:rsidR="00251172" w:rsidRPr="00C409F8">
        <w:t xml:space="preserve">or fall-planting in the Pacific Northwest (South Idaho, Palouse, Columbia Basin, and western valleys of Oregon and Washington). </w:t>
      </w:r>
      <w:bookmarkStart w:id="1" w:name="_Hlk162509088"/>
      <w:r w:rsidR="00B9579C" w:rsidRPr="00C409F8">
        <w:t xml:space="preserve">Additional testing </w:t>
      </w:r>
      <w:r w:rsidR="00827C5F">
        <w:t xml:space="preserve">throughout the US is ongoing to determine its </w:t>
      </w:r>
      <w:r w:rsidR="00906590">
        <w:t>range</w:t>
      </w:r>
      <w:r w:rsidR="00827C5F">
        <w:t xml:space="preserve"> of adaptation. </w:t>
      </w:r>
      <w:r w:rsidRPr="00C409F8">
        <w:t xml:space="preserve"> </w:t>
      </w:r>
    </w:p>
    <w:bookmarkEnd w:id="1"/>
    <w:p w14:paraId="4891E67C" w14:textId="77777777" w:rsidR="00E130A7" w:rsidRPr="00C409F8" w:rsidRDefault="00E130A7" w:rsidP="00E130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u w:val="single"/>
        </w:rPr>
      </w:pPr>
    </w:p>
    <w:p w14:paraId="5D492E34" w14:textId="621E899B" w:rsidR="00E130A7" w:rsidRPr="00C409F8" w:rsidRDefault="00E130A7" w:rsidP="00E130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 w:rsidRPr="00C409F8">
        <w:rPr>
          <w:b/>
        </w:rPr>
        <w:t>Agronomic Strengths</w:t>
      </w:r>
    </w:p>
    <w:p w14:paraId="5B7E6D3C" w14:textId="1B2017AD" w:rsidR="00E130A7" w:rsidRPr="006624F4" w:rsidRDefault="00E130A7" w:rsidP="00E130A7">
      <w:pPr>
        <w:tabs>
          <w:tab w:val="left" w:pos="0"/>
        </w:tabs>
      </w:pPr>
      <w:r w:rsidRPr="00C409F8">
        <w:t>High yield; excellent kernel plumpness; good lodging resistance; resistance to stripe rust</w:t>
      </w:r>
      <w:r w:rsidR="00C409F8" w:rsidRPr="00C409F8">
        <w:t xml:space="preserve"> and scald. </w:t>
      </w:r>
    </w:p>
    <w:p w14:paraId="3AF2D081" w14:textId="77777777" w:rsidR="00251172" w:rsidRPr="005F0E01" w:rsidRDefault="00251172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u w:val="single"/>
        </w:rPr>
      </w:pPr>
      <w:r w:rsidRPr="005F0E01">
        <w:rPr>
          <w:b/>
          <w:u w:val="single"/>
        </w:rPr>
        <w:lastRenderedPageBreak/>
        <w:t>Agronomic Characteristics</w:t>
      </w:r>
    </w:p>
    <w:p w14:paraId="1035C539" w14:textId="0C352EF6" w:rsidR="00251172" w:rsidRPr="005F0E01" w:rsidRDefault="00251172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F0E01">
        <w:rPr>
          <w:b/>
        </w:rPr>
        <w:t xml:space="preserve">Table 1. </w:t>
      </w:r>
      <w:r w:rsidRPr="005F0E01">
        <w:t xml:space="preserve">Agronomic performance </w:t>
      </w:r>
      <w:r w:rsidR="00FF37BE" w:rsidRPr="005F0E01">
        <w:t xml:space="preserve">of </w:t>
      </w:r>
      <w:r w:rsidR="0066132F">
        <w:t>Top Shelf</w:t>
      </w:r>
      <w:r w:rsidRPr="005F0E01">
        <w:t xml:space="preserve"> compared to check cultivars. </w:t>
      </w:r>
      <w:r w:rsidRPr="001B5529">
        <w:t>Average of 20</w:t>
      </w:r>
      <w:r w:rsidR="001B5529" w:rsidRPr="00C409F8">
        <w:t>19</w:t>
      </w:r>
      <w:r w:rsidRPr="001B5529">
        <w:t>-20</w:t>
      </w:r>
      <w:r w:rsidR="001B5529" w:rsidRPr="00C409F8">
        <w:t>23</w:t>
      </w:r>
      <w:r w:rsidRPr="001B5529">
        <w:t xml:space="preserve"> trials in Oregon.</w:t>
      </w:r>
      <w:r w:rsidRPr="005F0E01">
        <w:t xml:space="preserve">  </w:t>
      </w:r>
    </w:p>
    <w:p w14:paraId="79DBE5CF" w14:textId="77777777" w:rsidR="00251172" w:rsidRPr="005F0E01" w:rsidRDefault="00251172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1440"/>
        <w:gridCol w:w="1620"/>
        <w:gridCol w:w="1440"/>
        <w:gridCol w:w="1080"/>
        <w:gridCol w:w="1232"/>
        <w:gridCol w:w="750"/>
      </w:tblGrid>
      <w:tr w:rsidR="0066132F" w:rsidRPr="005F0E01" w14:paraId="400C5DF1" w14:textId="5D0940FB" w:rsidTr="00C409F8">
        <w:tc>
          <w:tcPr>
            <w:tcW w:w="1345" w:type="dxa"/>
          </w:tcPr>
          <w:p w14:paraId="040C28B2" w14:textId="6F575228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Entry</w:t>
            </w:r>
          </w:p>
        </w:tc>
        <w:tc>
          <w:tcPr>
            <w:tcW w:w="1170" w:type="dxa"/>
          </w:tcPr>
          <w:p w14:paraId="6181D6C1" w14:textId="77777777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 xml:space="preserve">Yield </w:t>
            </w:r>
          </w:p>
          <w:p w14:paraId="4D189CC1" w14:textId="77777777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(</w:t>
            </w:r>
            <w:proofErr w:type="spellStart"/>
            <w:r w:rsidRPr="00C409F8">
              <w:rPr>
                <w:sz w:val="22"/>
                <w:szCs w:val="22"/>
              </w:rPr>
              <w:t>bu</w:t>
            </w:r>
            <w:proofErr w:type="spellEnd"/>
            <w:r w:rsidRPr="00C409F8">
              <w:rPr>
                <w:sz w:val="22"/>
                <w:szCs w:val="22"/>
              </w:rPr>
              <w:t>/acre)</w:t>
            </w:r>
          </w:p>
        </w:tc>
        <w:tc>
          <w:tcPr>
            <w:tcW w:w="1440" w:type="dxa"/>
          </w:tcPr>
          <w:p w14:paraId="43963543" w14:textId="28488C4F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Test Weight (</w:t>
            </w:r>
            <w:proofErr w:type="spellStart"/>
            <w:r w:rsidRPr="00C409F8">
              <w:rPr>
                <w:sz w:val="22"/>
                <w:szCs w:val="22"/>
              </w:rPr>
              <w:t>lbs</w:t>
            </w:r>
            <w:proofErr w:type="spellEnd"/>
            <w:r w:rsidRPr="00C409F8">
              <w:rPr>
                <w:sz w:val="22"/>
                <w:szCs w:val="22"/>
              </w:rPr>
              <w:t>/</w:t>
            </w:r>
            <w:proofErr w:type="spellStart"/>
            <w:r w:rsidRPr="00C409F8">
              <w:rPr>
                <w:sz w:val="22"/>
                <w:szCs w:val="22"/>
              </w:rPr>
              <w:t>bu</w:t>
            </w:r>
            <w:proofErr w:type="spellEnd"/>
            <w:r w:rsidRPr="00C409F8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7486227B" w14:textId="023B7FA8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Heading Date (DOY)</w:t>
            </w:r>
          </w:p>
        </w:tc>
        <w:tc>
          <w:tcPr>
            <w:tcW w:w="1440" w:type="dxa"/>
          </w:tcPr>
          <w:p w14:paraId="5660FF24" w14:textId="77777777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 xml:space="preserve">Plant </w:t>
            </w:r>
            <w:proofErr w:type="gramStart"/>
            <w:r w:rsidRPr="00C409F8">
              <w:rPr>
                <w:sz w:val="22"/>
                <w:szCs w:val="22"/>
              </w:rPr>
              <w:t>height</w:t>
            </w:r>
            <w:proofErr w:type="gramEnd"/>
            <w:r w:rsidRPr="00C409F8">
              <w:rPr>
                <w:sz w:val="22"/>
                <w:szCs w:val="22"/>
              </w:rPr>
              <w:t xml:space="preserve"> </w:t>
            </w:r>
          </w:p>
          <w:p w14:paraId="58E5AC0A" w14:textId="3F9CF20D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(in)</w:t>
            </w:r>
          </w:p>
        </w:tc>
        <w:tc>
          <w:tcPr>
            <w:tcW w:w="1080" w:type="dxa"/>
          </w:tcPr>
          <w:p w14:paraId="7E05D013" w14:textId="02FEA20A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Lodging (%)</w:t>
            </w:r>
          </w:p>
        </w:tc>
        <w:tc>
          <w:tcPr>
            <w:tcW w:w="1232" w:type="dxa"/>
          </w:tcPr>
          <w:p w14:paraId="6BE71755" w14:textId="332A7B1A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Stripe rust (%)</w:t>
            </w:r>
          </w:p>
        </w:tc>
        <w:tc>
          <w:tcPr>
            <w:tcW w:w="750" w:type="dxa"/>
          </w:tcPr>
          <w:p w14:paraId="470ECD0D" w14:textId="6AD92B01" w:rsidR="0066132F" w:rsidRPr="00C409F8" w:rsidRDefault="0066132F" w:rsidP="0066132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Scald (%)</w:t>
            </w:r>
          </w:p>
        </w:tc>
      </w:tr>
      <w:tr w:rsidR="00651273" w:rsidRPr="005F0E01" w14:paraId="15EDFC8A" w14:textId="1DDD4CD5" w:rsidTr="00C409F8">
        <w:tc>
          <w:tcPr>
            <w:tcW w:w="1345" w:type="dxa"/>
            <w:vAlign w:val="bottom"/>
          </w:tcPr>
          <w:p w14:paraId="357CB5E7" w14:textId="7D9AFE6B" w:rsidR="00651273" w:rsidRPr="00C409F8" w:rsidRDefault="00651273" w:rsidP="00651273">
            <w:pPr>
              <w:rPr>
                <w:i/>
                <w:sz w:val="22"/>
                <w:szCs w:val="22"/>
              </w:rPr>
            </w:pPr>
            <w:r w:rsidRPr="00C409F8">
              <w:rPr>
                <w:i/>
                <w:sz w:val="22"/>
                <w:szCs w:val="22"/>
              </w:rPr>
              <w:t>Station yrs.</w:t>
            </w:r>
          </w:p>
        </w:tc>
        <w:tc>
          <w:tcPr>
            <w:tcW w:w="1170" w:type="dxa"/>
          </w:tcPr>
          <w:p w14:paraId="0C5B201C" w14:textId="3E1F5632" w:rsidR="00651273" w:rsidRPr="005F0E01" w:rsidRDefault="00651273" w:rsidP="00651273">
            <w:pPr>
              <w:jc w:val="center"/>
              <w:rPr>
                <w:i/>
                <w:color w:val="000000"/>
              </w:rPr>
            </w:pPr>
            <w:r w:rsidRPr="006B40F2">
              <w:t>9</w:t>
            </w:r>
          </w:p>
        </w:tc>
        <w:tc>
          <w:tcPr>
            <w:tcW w:w="1440" w:type="dxa"/>
          </w:tcPr>
          <w:p w14:paraId="1EEB86B3" w14:textId="533A885E" w:rsidR="00651273" w:rsidRPr="005F0E01" w:rsidRDefault="00651273" w:rsidP="00651273">
            <w:pPr>
              <w:jc w:val="center"/>
              <w:rPr>
                <w:i/>
                <w:color w:val="000000"/>
              </w:rPr>
            </w:pPr>
            <w:r w:rsidRPr="006B40F2">
              <w:t>9</w:t>
            </w:r>
          </w:p>
        </w:tc>
        <w:tc>
          <w:tcPr>
            <w:tcW w:w="1620" w:type="dxa"/>
          </w:tcPr>
          <w:p w14:paraId="4C9B412A" w14:textId="078E4D94" w:rsidR="00651273" w:rsidRPr="005F0E01" w:rsidRDefault="00651273" w:rsidP="00651273">
            <w:pPr>
              <w:jc w:val="center"/>
              <w:rPr>
                <w:i/>
                <w:color w:val="000000"/>
              </w:rPr>
            </w:pPr>
            <w:r w:rsidRPr="006B40F2">
              <w:t>5</w:t>
            </w:r>
          </w:p>
        </w:tc>
        <w:tc>
          <w:tcPr>
            <w:tcW w:w="1440" w:type="dxa"/>
          </w:tcPr>
          <w:p w14:paraId="7B1FD4AD" w14:textId="7942C88E" w:rsidR="00651273" w:rsidRPr="005F0E01" w:rsidRDefault="00651273" w:rsidP="00651273">
            <w:pPr>
              <w:jc w:val="center"/>
              <w:rPr>
                <w:i/>
                <w:color w:val="000000"/>
              </w:rPr>
            </w:pPr>
            <w:r w:rsidRPr="006B40F2">
              <w:t>9</w:t>
            </w:r>
          </w:p>
        </w:tc>
        <w:tc>
          <w:tcPr>
            <w:tcW w:w="1080" w:type="dxa"/>
          </w:tcPr>
          <w:p w14:paraId="0F2EEAAF" w14:textId="1214ECB8" w:rsidR="00651273" w:rsidRPr="005F0E01" w:rsidRDefault="00651273" w:rsidP="00651273">
            <w:pPr>
              <w:jc w:val="center"/>
              <w:rPr>
                <w:i/>
                <w:color w:val="000000"/>
              </w:rPr>
            </w:pPr>
            <w:r w:rsidRPr="006B40F2">
              <w:t>5</w:t>
            </w:r>
          </w:p>
        </w:tc>
        <w:tc>
          <w:tcPr>
            <w:tcW w:w="1232" w:type="dxa"/>
          </w:tcPr>
          <w:p w14:paraId="3FBED396" w14:textId="365D3FA4" w:rsidR="00651273" w:rsidRDefault="00651273" w:rsidP="00651273">
            <w:pPr>
              <w:jc w:val="center"/>
              <w:rPr>
                <w:i/>
                <w:color w:val="000000"/>
              </w:rPr>
            </w:pPr>
            <w:r w:rsidRPr="006B40F2">
              <w:t>3</w:t>
            </w:r>
          </w:p>
        </w:tc>
        <w:tc>
          <w:tcPr>
            <w:tcW w:w="750" w:type="dxa"/>
          </w:tcPr>
          <w:p w14:paraId="4DD94A70" w14:textId="325F4EB2" w:rsidR="00651273" w:rsidRDefault="00651273" w:rsidP="00651273">
            <w:pPr>
              <w:jc w:val="center"/>
              <w:rPr>
                <w:i/>
                <w:color w:val="000000"/>
              </w:rPr>
            </w:pPr>
            <w:r w:rsidRPr="006B40F2">
              <w:t>8</w:t>
            </w:r>
          </w:p>
        </w:tc>
      </w:tr>
      <w:tr w:rsidR="00651273" w:rsidRPr="005F0E01" w14:paraId="75BF62A1" w14:textId="24099A55" w:rsidTr="00C409F8">
        <w:tc>
          <w:tcPr>
            <w:tcW w:w="1345" w:type="dxa"/>
            <w:vAlign w:val="bottom"/>
          </w:tcPr>
          <w:p w14:paraId="65FE001D" w14:textId="47CA0F82" w:rsidR="00651273" w:rsidRPr="00C409F8" w:rsidRDefault="00651273" w:rsidP="00651273">
            <w:pPr>
              <w:rPr>
                <w:color w:val="000000"/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Top Shelf</w:t>
            </w:r>
          </w:p>
        </w:tc>
        <w:tc>
          <w:tcPr>
            <w:tcW w:w="1170" w:type="dxa"/>
          </w:tcPr>
          <w:p w14:paraId="5C574B66" w14:textId="2DC1BEB3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156</w:t>
            </w:r>
          </w:p>
        </w:tc>
        <w:tc>
          <w:tcPr>
            <w:tcW w:w="1440" w:type="dxa"/>
          </w:tcPr>
          <w:p w14:paraId="1BF4735B" w14:textId="7CBDB603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53.9</w:t>
            </w:r>
          </w:p>
        </w:tc>
        <w:tc>
          <w:tcPr>
            <w:tcW w:w="1620" w:type="dxa"/>
          </w:tcPr>
          <w:p w14:paraId="0BFA21BC" w14:textId="14FC7AE4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113</w:t>
            </w:r>
          </w:p>
        </w:tc>
        <w:tc>
          <w:tcPr>
            <w:tcW w:w="1440" w:type="dxa"/>
          </w:tcPr>
          <w:p w14:paraId="15ECDB34" w14:textId="35034296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46</w:t>
            </w:r>
          </w:p>
        </w:tc>
        <w:tc>
          <w:tcPr>
            <w:tcW w:w="1080" w:type="dxa"/>
          </w:tcPr>
          <w:p w14:paraId="3AA20C51" w14:textId="591E5273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1</w:t>
            </w:r>
          </w:p>
        </w:tc>
        <w:tc>
          <w:tcPr>
            <w:tcW w:w="1232" w:type="dxa"/>
          </w:tcPr>
          <w:p w14:paraId="126ECD21" w14:textId="7378F908" w:rsidR="00651273" w:rsidRDefault="00651273" w:rsidP="00651273">
            <w:pPr>
              <w:jc w:val="center"/>
              <w:rPr>
                <w:color w:val="000000"/>
              </w:rPr>
            </w:pPr>
            <w:r w:rsidRPr="006B40F2">
              <w:t>3</w:t>
            </w:r>
          </w:p>
        </w:tc>
        <w:tc>
          <w:tcPr>
            <w:tcW w:w="750" w:type="dxa"/>
          </w:tcPr>
          <w:p w14:paraId="1F727B15" w14:textId="02F69229" w:rsidR="00651273" w:rsidRDefault="00651273" w:rsidP="00651273">
            <w:pPr>
              <w:jc w:val="center"/>
              <w:rPr>
                <w:color w:val="000000"/>
              </w:rPr>
            </w:pPr>
            <w:r w:rsidRPr="006B40F2">
              <w:t>3</w:t>
            </w:r>
          </w:p>
        </w:tc>
      </w:tr>
      <w:tr w:rsidR="00651273" w:rsidRPr="005F0E01" w14:paraId="7282982B" w14:textId="05E8A40F" w:rsidTr="00C409F8">
        <w:tc>
          <w:tcPr>
            <w:tcW w:w="1345" w:type="dxa"/>
            <w:vAlign w:val="bottom"/>
          </w:tcPr>
          <w:p w14:paraId="4A37A735" w14:textId="7B4DFD6F" w:rsidR="00651273" w:rsidRPr="00C409F8" w:rsidRDefault="00651273" w:rsidP="00651273">
            <w:pPr>
              <w:rPr>
                <w:color w:val="000000"/>
                <w:sz w:val="22"/>
                <w:szCs w:val="22"/>
              </w:rPr>
            </w:pPr>
            <w:r w:rsidRPr="00C409F8">
              <w:rPr>
                <w:color w:val="000000"/>
                <w:sz w:val="22"/>
                <w:szCs w:val="22"/>
              </w:rPr>
              <w:t>Wintmalt</w:t>
            </w:r>
          </w:p>
        </w:tc>
        <w:tc>
          <w:tcPr>
            <w:tcW w:w="1170" w:type="dxa"/>
          </w:tcPr>
          <w:p w14:paraId="54168BAC" w14:textId="7A008E98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115</w:t>
            </w:r>
          </w:p>
        </w:tc>
        <w:tc>
          <w:tcPr>
            <w:tcW w:w="1440" w:type="dxa"/>
          </w:tcPr>
          <w:p w14:paraId="7FF92324" w14:textId="026B666B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50.6</w:t>
            </w:r>
          </w:p>
        </w:tc>
        <w:tc>
          <w:tcPr>
            <w:tcW w:w="1620" w:type="dxa"/>
          </w:tcPr>
          <w:p w14:paraId="13C61E3B" w14:textId="6D44BA76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123</w:t>
            </w:r>
          </w:p>
        </w:tc>
        <w:tc>
          <w:tcPr>
            <w:tcW w:w="1440" w:type="dxa"/>
          </w:tcPr>
          <w:p w14:paraId="3282848B" w14:textId="00B2256D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38</w:t>
            </w:r>
          </w:p>
        </w:tc>
        <w:tc>
          <w:tcPr>
            <w:tcW w:w="1080" w:type="dxa"/>
          </w:tcPr>
          <w:p w14:paraId="54238A6F" w14:textId="4D528802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16</w:t>
            </w:r>
          </w:p>
        </w:tc>
        <w:tc>
          <w:tcPr>
            <w:tcW w:w="1232" w:type="dxa"/>
          </w:tcPr>
          <w:p w14:paraId="4A5A5603" w14:textId="2B9CF9F0" w:rsidR="00651273" w:rsidRDefault="00651273" w:rsidP="00651273">
            <w:pPr>
              <w:jc w:val="center"/>
              <w:rPr>
                <w:color w:val="000000"/>
              </w:rPr>
            </w:pPr>
            <w:r w:rsidRPr="006B40F2">
              <w:t>18</w:t>
            </w:r>
          </w:p>
        </w:tc>
        <w:tc>
          <w:tcPr>
            <w:tcW w:w="750" w:type="dxa"/>
          </w:tcPr>
          <w:p w14:paraId="48EA753E" w14:textId="402D3791" w:rsidR="00651273" w:rsidRDefault="00651273" w:rsidP="00651273">
            <w:pPr>
              <w:jc w:val="center"/>
              <w:rPr>
                <w:color w:val="000000"/>
              </w:rPr>
            </w:pPr>
            <w:r w:rsidRPr="006B40F2">
              <w:t>37</w:t>
            </w:r>
          </w:p>
        </w:tc>
      </w:tr>
      <w:tr w:rsidR="00651273" w:rsidRPr="005F0E01" w14:paraId="66A302B4" w14:textId="65A0A24A" w:rsidTr="00C409F8">
        <w:tc>
          <w:tcPr>
            <w:tcW w:w="1345" w:type="dxa"/>
            <w:vAlign w:val="bottom"/>
          </w:tcPr>
          <w:p w14:paraId="17148D47" w14:textId="020C67EC" w:rsidR="00651273" w:rsidRPr="00C409F8" w:rsidRDefault="00651273" w:rsidP="00651273">
            <w:pPr>
              <w:rPr>
                <w:color w:val="000000"/>
                <w:sz w:val="22"/>
                <w:szCs w:val="22"/>
              </w:rPr>
            </w:pPr>
            <w:r w:rsidRPr="00C409F8">
              <w:rPr>
                <w:color w:val="000000"/>
                <w:sz w:val="22"/>
                <w:szCs w:val="22"/>
              </w:rPr>
              <w:t>Thunder</w:t>
            </w:r>
          </w:p>
        </w:tc>
        <w:tc>
          <w:tcPr>
            <w:tcW w:w="1170" w:type="dxa"/>
          </w:tcPr>
          <w:p w14:paraId="0A7CA6C0" w14:textId="30FB87E6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117</w:t>
            </w:r>
          </w:p>
        </w:tc>
        <w:tc>
          <w:tcPr>
            <w:tcW w:w="1440" w:type="dxa"/>
          </w:tcPr>
          <w:p w14:paraId="6B15D1F0" w14:textId="3C99611E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51.4</w:t>
            </w:r>
          </w:p>
        </w:tc>
        <w:tc>
          <w:tcPr>
            <w:tcW w:w="1620" w:type="dxa"/>
          </w:tcPr>
          <w:p w14:paraId="3F23DB40" w14:textId="632F8F38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117</w:t>
            </w:r>
          </w:p>
        </w:tc>
        <w:tc>
          <w:tcPr>
            <w:tcW w:w="1440" w:type="dxa"/>
          </w:tcPr>
          <w:p w14:paraId="5D9EF1DA" w14:textId="32963096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39</w:t>
            </w:r>
          </w:p>
        </w:tc>
        <w:tc>
          <w:tcPr>
            <w:tcW w:w="1080" w:type="dxa"/>
          </w:tcPr>
          <w:p w14:paraId="35B11C9A" w14:textId="46D2AAC8" w:rsidR="00651273" w:rsidRPr="005F0E01" w:rsidRDefault="00651273" w:rsidP="00651273">
            <w:pPr>
              <w:jc w:val="center"/>
              <w:rPr>
                <w:color w:val="000000"/>
              </w:rPr>
            </w:pPr>
            <w:r w:rsidRPr="006B40F2">
              <w:t>22</w:t>
            </w:r>
          </w:p>
        </w:tc>
        <w:tc>
          <w:tcPr>
            <w:tcW w:w="1232" w:type="dxa"/>
          </w:tcPr>
          <w:p w14:paraId="24933FD1" w14:textId="6422B11E" w:rsidR="00651273" w:rsidRDefault="00651273" w:rsidP="00651273">
            <w:pPr>
              <w:jc w:val="center"/>
              <w:rPr>
                <w:color w:val="000000"/>
              </w:rPr>
            </w:pPr>
            <w:r w:rsidRPr="006B40F2">
              <w:t>16</w:t>
            </w:r>
          </w:p>
        </w:tc>
        <w:tc>
          <w:tcPr>
            <w:tcW w:w="750" w:type="dxa"/>
          </w:tcPr>
          <w:p w14:paraId="5E7ED7C2" w14:textId="21F1B6D3" w:rsidR="00651273" w:rsidRDefault="00651273" w:rsidP="00651273">
            <w:pPr>
              <w:jc w:val="center"/>
              <w:rPr>
                <w:color w:val="000000"/>
              </w:rPr>
            </w:pPr>
            <w:r w:rsidRPr="006B40F2">
              <w:t>34</w:t>
            </w:r>
          </w:p>
        </w:tc>
      </w:tr>
    </w:tbl>
    <w:p w14:paraId="19C86A4F" w14:textId="77777777" w:rsidR="00251172" w:rsidRDefault="00251172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14:paraId="5DB2A7AB" w14:textId="0E8BF24C" w:rsidR="00A000FF" w:rsidRDefault="00A000FF" w:rsidP="00A000FF">
      <w:pPr>
        <w:rPr>
          <w:lang w:eastAsia="en-US"/>
        </w:rPr>
      </w:pPr>
      <w:r w:rsidRPr="00656A8E">
        <w:rPr>
          <w:b/>
        </w:rPr>
        <w:t xml:space="preserve">Table </w:t>
      </w:r>
      <w:r w:rsidR="00656A8E" w:rsidRPr="00656A8E">
        <w:rPr>
          <w:b/>
        </w:rPr>
        <w:t>2</w:t>
      </w:r>
      <w:r w:rsidRPr="00656A8E">
        <w:rPr>
          <w:b/>
        </w:rPr>
        <w:t>.</w:t>
      </w:r>
      <w:r>
        <w:rPr>
          <w:b/>
        </w:rPr>
        <w:t xml:space="preserve"> </w:t>
      </w:r>
      <w:r>
        <w:t xml:space="preserve">Agronomic performance of Top Shelf compared to check cultivars. Average of the 2022 University of Idaho Extension Trials (Aberdeen and Rupert). </w:t>
      </w:r>
    </w:p>
    <w:p w14:paraId="29D72962" w14:textId="77777777" w:rsidR="00A000FF" w:rsidRDefault="00A000FF" w:rsidP="00A000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tbl>
      <w:tblPr>
        <w:tblStyle w:val="TableGrid"/>
        <w:tblW w:w="4955" w:type="pct"/>
        <w:tblLook w:val="04A0" w:firstRow="1" w:lastRow="0" w:firstColumn="1" w:lastColumn="0" w:noHBand="0" w:noVBand="1"/>
      </w:tblPr>
      <w:tblGrid>
        <w:gridCol w:w="1522"/>
        <w:gridCol w:w="1180"/>
        <w:gridCol w:w="1433"/>
        <w:gridCol w:w="1266"/>
        <w:gridCol w:w="1349"/>
        <w:gridCol w:w="1080"/>
        <w:gridCol w:w="1436"/>
      </w:tblGrid>
      <w:tr w:rsidR="00A000FF" w14:paraId="57D847F1" w14:textId="77777777" w:rsidTr="00A000FF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5B69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</w:rPr>
            </w:pPr>
            <w:r>
              <w:rPr>
                <w:sz w:val="22"/>
              </w:rPr>
              <w:t>Entry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792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Yield</w:t>
            </w:r>
          </w:p>
          <w:p w14:paraId="7D99A05D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bu</w:t>
            </w:r>
            <w:proofErr w:type="spellEnd"/>
            <w:r>
              <w:rPr>
                <w:sz w:val="22"/>
              </w:rPr>
              <w:t>/acre)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184F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Test weight*</w:t>
            </w:r>
          </w:p>
          <w:p w14:paraId="5D734060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lbs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bu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8D20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Heading (DOY)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CDD5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Plant </w:t>
            </w:r>
            <w:proofErr w:type="gramStart"/>
            <w:r>
              <w:rPr>
                <w:sz w:val="22"/>
              </w:rPr>
              <w:t>height</w:t>
            </w:r>
            <w:proofErr w:type="gramEnd"/>
          </w:p>
          <w:p w14:paraId="0D10299E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(in)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3F95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Lodging (%)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EEA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Spring Stand</w:t>
            </w:r>
          </w:p>
          <w:p w14:paraId="25480AEF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</w:tr>
      <w:tr w:rsidR="00A000FF" w14:paraId="6C059DD1" w14:textId="77777777" w:rsidTr="00A000FF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CF94" w14:textId="77777777" w:rsidR="00A000FF" w:rsidRPr="00830F4D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i/>
                <w:sz w:val="22"/>
                <w:szCs w:val="22"/>
              </w:rPr>
            </w:pPr>
            <w:r w:rsidRPr="00830F4D">
              <w:rPr>
                <w:i/>
                <w:sz w:val="22"/>
                <w:szCs w:val="22"/>
              </w:rPr>
              <w:t>Station yrs.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313D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CE25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4B3E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4F47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5B1F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5F58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000FF" w14:paraId="7E359841" w14:textId="77777777" w:rsidTr="00A000FF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40FB" w14:textId="77777777" w:rsidR="00A000FF" w:rsidRPr="00830F4D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830F4D">
              <w:rPr>
                <w:sz w:val="22"/>
                <w:szCs w:val="22"/>
              </w:rPr>
              <w:t>Top Shelf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FF2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164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DAAF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50.6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4843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148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0043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41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06F2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4E61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100</w:t>
            </w:r>
          </w:p>
        </w:tc>
      </w:tr>
      <w:tr w:rsidR="00A000FF" w14:paraId="24CD1209" w14:textId="77777777" w:rsidTr="00A000FF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BB37" w14:textId="77777777" w:rsidR="00A000FF" w:rsidRPr="00830F4D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830F4D">
              <w:rPr>
                <w:sz w:val="22"/>
                <w:szCs w:val="22"/>
              </w:rPr>
              <w:t>Wintmalt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75A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169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E48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48.3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37AE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154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D88B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072A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B8B6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100</w:t>
            </w:r>
          </w:p>
        </w:tc>
      </w:tr>
      <w:tr w:rsidR="00A000FF" w14:paraId="019ECF28" w14:textId="77777777" w:rsidTr="00A000FF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96AB" w14:textId="77777777" w:rsidR="00A000FF" w:rsidRPr="00830F4D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830F4D">
              <w:rPr>
                <w:sz w:val="22"/>
                <w:szCs w:val="22"/>
              </w:rPr>
              <w:t>Thunder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0F30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190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81F4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50.7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521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152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6244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84ED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30BE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100</w:t>
            </w:r>
          </w:p>
        </w:tc>
      </w:tr>
      <w:tr w:rsidR="00A000FF" w14:paraId="49C3FD04" w14:textId="77777777" w:rsidTr="00A000FF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D4BF" w14:textId="77777777" w:rsidR="00A000FF" w:rsidRPr="00830F4D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830F4D">
              <w:rPr>
                <w:sz w:val="22"/>
                <w:szCs w:val="22"/>
              </w:rPr>
              <w:t>Charles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8B77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156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1EA2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45.8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14DB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153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CD88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41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A82E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67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DB61" w14:textId="77777777" w:rsidR="00A000FF" w:rsidRDefault="00A000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>
              <w:t>100</w:t>
            </w:r>
          </w:p>
        </w:tc>
      </w:tr>
    </w:tbl>
    <w:p w14:paraId="7ECE680D" w14:textId="77777777" w:rsidR="00A000FF" w:rsidRDefault="00A000FF" w:rsidP="00A000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</w:rPr>
      </w:pPr>
      <w:r>
        <w:rPr>
          <w:bCs/>
        </w:rPr>
        <w:t xml:space="preserve">*Test weight as measured by the on-board combine weighing system. </w:t>
      </w:r>
    </w:p>
    <w:p w14:paraId="63D5C3AC" w14:textId="77777777" w:rsidR="00A000FF" w:rsidRDefault="00A000FF" w:rsidP="00251172">
      <w:pPr>
        <w:rPr>
          <w:b/>
        </w:rPr>
      </w:pPr>
    </w:p>
    <w:p w14:paraId="38A318C4" w14:textId="6B8F3D89" w:rsidR="00251172" w:rsidRPr="0088179C" w:rsidRDefault="00251172" w:rsidP="00251172">
      <w:r w:rsidRPr="0088179C">
        <w:rPr>
          <w:b/>
        </w:rPr>
        <w:t xml:space="preserve">Table </w:t>
      </w:r>
      <w:r w:rsidR="00656A8E">
        <w:rPr>
          <w:b/>
        </w:rPr>
        <w:t>3</w:t>
      </w:r>
      <w:r w:rsidRPr="0088179C">
        <w:rPr>
          <w:b/>
        </w:rPr>
        <w:t xml:space="preserve">. </w:t>
      </w:r>
      <w:r w:rsidR="0088179C" w:rsidRPr="00C409F8">
        <w:rPr>
          <w:bCs/>
          <w:color w:val="000000" w:themeColor="text1"/>
        </w:rPr>
        <w:t>Winter survival of Top Shelf and checks where (1) there was differential survival in the trial and (2) all entries were present in the same trial.</w:t>
      </w:r>
    </w:p>
    <w:p w14:paraId="63F9D64A" w14:textId="77777777" w:rsidR="00251172" w:rsidRPr="0088179C" w:rsidRDefault="00251172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tbl>
      <w:tblPr>
        <w:tblStyle w:val="TableGrid"/>
        <w:tblW w:w="3505" w:type="dxa"/>
        <w:tblLook w:val="04A0" w:firstRow="1" w:lastRow="0" w:firstColumn="1" w:lastColumn="0" w:noHBand="0" w:noVBand="1"/>
      </w:tblPr>
      <w:tblGrid>
        <w:gridCol w:w="1731"/>
        <w:gridCol w:w="1774"/>
      </w:tblGrid>
      <w:tr w:rsidR="0088179C" w:rsidRPr="0088179C" w14:paraId="7FAB6DF1" w14:textId="77777777" w:rsidTr="00C409F8">
        <w:tc>
          <w:tcPr>
            <w:tcW w:w="1731" w:type="dxa"/>
          </w:tcPr>
          <w:p w14:paraId="029ED2D7" w14:textId="77777777" w:rsidR="0088179C" w:rsidRPr="00C409F8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Entry</w:t>
            </w:r>
          </w:p>
        </w:tc>
        <w:tc>
          <w:tcPr>
            <w:tcW w:w="1774" w:type="dxa"/>
          </w:tcPr>
          <w:p w14:paraId="2504B06F" w14:textId="403A4C37" w:rsidR="0088179C" w:rsidRPr="00C409F8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Winter Survival (%)</w:t>
            </w:r>
          </w:p>
        </w:tc>
      </w:tr>
      <w:tr w:rsidR="0088179C" w:rsidRPr="0088179C" w14:paraId="3D7ACE44" w14:textId="77777777" w:rsidTr="00C409F8">
        <w:tc>
          <w:tcPr>
            <w:tcW w:w="1731" w:type="dxa"/>
          </w:tcPr>
          <w:p w14:paraId="6EA5BAB9" w14:textId="178AB15A" w:rsidR="0088179C" w:rsidRPr="00C409F8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i/>
                <w:sz w:val="22"/>
                <w:szCs w:val="22"/>
              </w:rPr>
            </w:pPr>
            <w:r w:rsidRPr="00C409F8">
              <w:rPr>
                <w:i/>
                <w:sz w:val="22"/>
                <w:szCs w:val="22"/>
              </w:rPr>
              <w:t>Station yrs.</w:t>
            </w:r>
          </w:p>
        </w:tc>
        <w:tc>
          <w:tcPr>
            <w:tcW w:w="1774" w:type="dxa"/>
          </w:tcPr>
          <w:p w14:paraId="66F934EE" w14:textId="3EC2753B" w:rsidR="0088179C" w:rsidRPr="0088179C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i/>
              </w:rPr>
            </w:pPr>
            <w:r w:rsidRPr="00C409F8">
              <w:rPr>
                <w:i/>
              </w:rPr>
              <w:t>5</w:t>
            </w:r>
          </w:p>
        </w:tc>
      </w:tr>
      <w:tr w:rsidR="0088179C" w:rsidRPr="0088179C" w14:paraId="61234762" w14:textId="77777777" w:rsidTr="00C409F8">
        <w:tc>
          <w:tcPr>
            <w:tcW w:w="1731" w:type="dxa"/>
          </w:tcPr>
          <w:p w14:paraId="2B47E27E" w14:textId="4518205D" w:rsidR="0088179C" w:rsidRPr="00C409F8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Top Shelf</w:t>
            </w:r>
          </w:p>
        </w:tc>
        <w:tc>
          <w:tcPr>
            <w:tcW w:w="1774" w:type="dxa"/>
          </w:tcPr>
          <w:p w14:paraId="7FC8C2CD" w14:textId="499E7803" w:rsidR="0088179C" w:rsidRPr="0088179C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 w:rsidRPr="00C409F8">
              <w:t>48</w:t>
            </w:r>
          </w:p>
        </w:tc>
      </w:tr>
      <w:tr w:rsidR="0088179C" w:rsidRPr="0088179C" w14:paraId="6D9A7769" w14:textId="77777777" w:rsidTr="00C409F8">
        <w:tc>
          <w:tcPr>
            <w:tcW w:w="1731" w:type="dxa"/>
          </w:tcPr>
          <w:p w14:paraId="21765544" w14:textId="5F6ED7F7" w:rsidR="0088179C" w:rsidRPr="00C409F8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Charles</w:t>
            </w:r>
          </w:p>
        </w:tc>
        <w:tc>
          <w:tcPr>
            <w:tcW w:w="1774" w:type="dxa"/>
          </w:tcPr>
          <w:p w14:paraId="53B1E34D" w14:textId="3A600682" w:rsidR="0088179C" w:rsidRPr="0088179C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 w:rsidRPr="00C409F8">
              <w:t>45</w:t>
            </w:r>
          </w:p>
        </w:tc>
      </w:tr>
      <w:tr w:rsidR="0088179C" w:rsidRPr="005F0E01" w14:paraId="23990DCD" w14:textId="77777777" w:rsidTr="00C409F8">
        <w:tc>
          <w:tcPr>
            <w:tcW w:w="1731" w:type="dxa"/>
          </w:tcPr>
          <w:p w14:paraId="59E3F399" w14:textId="77777777" w:rsidR="0088179C" w:rsidRPr="00C409F8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2"/>
                <w:szCs w:val="22"/>
              </w:rPr>
            </w:pPr>
            <w:r w:rsidRPr="00C409F8">
              <w:rPr>
                <w:sz w:val="22"/>
                <w:szCs w:val="22"/>
              </w:rPr>
              <w:t>Wintmalt</w:t>
            </w:r>
          </w:p>
        </w:tc>
        <w:tc>
          <w:tcPr>
            <w:tcW w:w="1774" w:type="dxa"/>
          </w:tcPr>
          <w:p w14:paraId="1905298C" w14:textId="10E672A9" w:rsidR="0088179C" w:rsidRPr="0088179C" w:rsidRDefault="0088179C" w:rsidP="0025117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3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 w:rsidRPr="00C409F8">
              <w:t>55</w:t>
            </w:r>
          </w:p>
        </w:tc>
      </w:tr>
    </w:tbl>
    <w:p w14:paraId="41B32C11" w14:textId="77777777" w:rsidR="00251172" w:rsidRPr="005F0E01" w:rsidRDefault="00251172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14:paraId="11AE63AB" w14:textId="77777777" w:rsidR="00251172" w:rsidRPr="00003965" w:rsidRDefault="00251172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F0E01">
        <w:rPr>
          <w:b/>
          <w:u w:val="single"/>
        </w:rPr>
        <w:t>Malting Quality Characteristics</w:t>
      </w:r>
    </w:p>
    <w:p w14:paraId="6A324247" w14:textId="24EA693A" w:rsidR="00251172" w:rsidRPr="005F0E01" w:rsidRDefault="00251172" w:rsidP="00251172">
      <w:pPr>
        <w:pStyle w:val="BodyText"/>
        <w:spacing w:line="240" w:lineRule="auto"/>
        <w:rPr>
          <w:szCs w:val="22"/>
        </w:rPr>
      </w:pPr>
      <w:r w:rsidRPr="005F0E01">
        <w:rPr>
          <w:b/>
          <w:szCs w:val="22"/>
        </w:rPr>
        <w:t xml:space="preserve">Table </w:t>
      </w:r>
      <w:r w:rsidR="00656A8E">
        <w:rPr>
          <w:b/>
          <w:szCs w:val="22"/>
        </w:rPr>
        <w:t>4</w:t>
      </w:r>
      <w:r w:rsidRPr="005F0E01">
        <w:rPr>
          <w:szCs w:val="22"/>
        </w:rPr>
        <w:t>.  Malt quality</w:t>
      </w:r>
      <w:r w:rsidRPr="005F0E01">
        <w:rPr>
          <w:szCs w:val="22"/>
          <w:vertAlign w:val="superscript"/>
        </w:rPr>
        <w:t>1</w:t>
      </w:r>
      <w:r w:rsidRPr="005F0E01">
        <w:rPr>
          <w:szCs w:val="22"/>
        </w:rPr>
        <w:t xml:space="preserve"> of</w:t>
      </w:r>
      <w:r w:rsidR="007F3650">
        <w:rPr>
          <w:szCs w:val="22"/>
        </w:rPr>
        <w:t xml:space="preserve"> Top Shelf</w:t>
      </w:r>
      <w:r w:rsidRPr="005F0E01">
        <w:rPr>
          <w:szCs w:val="22"/>
        </w:rPr>
        <w:t xml:space="preserve"> and check cultivars using data from analyses of barley samples grown </w:t>
      </w:r>
      <w:r w:rsidR="00866F82">
        <w:rPr>
          <w:szCs w:val="22"/>
        </w:rPr>
        <w:t>in Oregon</w:t>
      </w:r>
      <w:r w:rsidRPr="00866F82">
        <w:rPr>
          <w:szCs w:val="22"/>
        </w:rPr>
        <w:t xml:space="preserve"> (201</w:t>
      </w:r>
      <w:r w:rsidR="00866F82" w:rsidRPr="00C409F8">
        <w:rPr>
          <w:szCs w:val="22"/>
        </w:rPr>
        <w:t>9</w:t>
      </w:r>
      <w:r w:rsidRPr="00866F82">
        <w:rPr>
          <w:szCs w:val="22"/>
        </w:rPr>
        <w:t>-20</w:t>
      </w:r>
      <w:r w:rsidR="00866F82" w:rsidRPr="00866F82">
        <w:rPr>
          <w:szCs w:val="22"/>
        </w:rPr>
        <w:t>23</w:t>
      </w:r>
      <w:r w:rsidRPr="005F0E01">
        <w:rPr>
          <w:szCs w:val="22"/>
        </w:rPr>
        <w:t>).</w:t>
      </w:r>
    </w:p>
    <w:p w14:paraId="25258F9C" w14:textId="77777777" w:rsidR="00251172" w:rsidRPr="00003965" w:rsidRDefault="00251172" w:rsidP="00251172">
      <w:pPr>
        <w:pStyle w:val="BodyText"/>
        <w:spacing w:line="240" w:lineRule="auto"/>
        <w:rPr>
          <w:szCs w:val="24"/>
        </w:rPr>
      </w:pPr>
    </w:p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900"/>
        <w:gridCol w:w="900"/>
        <w:gridCol w:w="720"/>
        <w:gridCol w:w="1080"/>
        <w:gridCol w:w="990"/>
        <w:gridCol w:w="810"/>
        <w:gridCol w:w="810"/>
      </w:tblGrid>
      <w:tr w:rsidR="00251172" w:rsidRPr="005F0E01" w14:paraId="1DE5A94B" w14:textId="77777777" w:rsidTr="00374474">
        <w:tc>
          <w:tcPr>
            <w:tcW w:w="1260" w:type="dxa"/>
            <w:vAlign w:val="center"/>
          </w:tcPr>
          <w:p w14:paraId="2D032A24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Entry</w:t>
            </w:r>
          </w:p>
        </w:tc>
        <w:tc>
          <w:tcPr>
            <w:tcW w:w="900" w:type="dxa"/>
            <w:vAlign w:val="center"/>
          </w:tcPr>
          <w:p w14:paraId="6D747214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Plump kernels (%)</w:t>
            </w:r>
          </w:p>
        </w:tc>
        <w:tc>
          <w:tcPr>
            <w:tcW w:w="900" w:type="dxa"/>
            <w:vAlign w:val="center"/>
          </w:tcPr>
          <w:p w14:paraId="274962A7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Malt extract (%)</w:t>
            </w:r>
          </w:p>
        </w:tc>
        <w:tc>
          <w:tcPr>
            <w:tcW w:w="900" w:type="dxa"/>
            <w:vAlign w:val="center"/>
          </w:tcPr>
          <w:p w14:paraId="455A5E09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Barley protein (%)</w:t>
            </w:r>
          </w:p>
        </w:tc>
        <w:tc>
          <w:tcPr>
            <w:tcW w:w="900" w:type="dxa"/>
            <w:vAlign w:val="center"/>
          </w:tcPr>
          <w:p w14:paraId="36D6500B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Wort protein (%)</w:t>
            </w:r>
          </w:p>
        </w:tc>
        <w:tc>
          <w:tcPr>
            <w:tcW w:w="720" w:type="dxa"/>
            <w:vAlign w:val="center"/>
          </w:tcPr>
          <w:p w14:paraId="56C9887E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S/T (%)</w:t>
            </w:r>
          </w:p>
        </w:tc>
        <w:tc>
          <w:tcPr>
            <w:tcW w:w="1080" w:type="dxa"/>
            <w:vAlign w:val="center"/>
          </w:tcPr>
          <w:p w14:paraId="0C862317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 (</w:t>
            </w:r>
            <w:r>
              <w:rPr>
                <w:color w:val="000000"/>
                <w:sz w:val="22"/>
                <w:szCs w:val="22"/>
                <w:vertAlign w:val="superscript"/>
              </w:rPr>
              <w:t>0</w:t>
            </w:r>
            <w:r>
              <w:rPr>
                <w:color w:val="000000"/>
                <w:sz w:val="22"/>
                <w:szCs w:val="22"/>
              </w:rPr>
              <w:t>ASBC)</w:t>
            </w:r>
          </w:p>
        </w:tc>
        <w:tc>
          <w:tcPr>
            <w:tcW w:w="990" w:type="dxa"/>
            <w:vAlign w:val="center"/>
          </w:tcPr>
          <w:p w14:paraId="10FCF09E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Alpha amylase(20°DU)</w:t>
            </w:r>
          </w:p>
        </w:tc>
        <w:tc>
          <w:tcPr>
            <w:tcW w:w="810" w:type="dxa"/>
            <w:vAlign w:val="center"/>
          </w:tcPr>
          <w:p w14:paraId="52A786E8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Beta glucan(ppm)</w:t>
            </w:r>
          </w:p>
        </w:tc>
        <w:tc>
          <w:tcPr>
            <w:tcW w:w="810" w:type="dxa"/>
            <w:vAlign w:val="center"/>
          </w:tcPr>
          <w:p w14:paraId="7FEF643E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FAN (ppm)</w:t>
            </w:r>
          </w:p>
        </w:tc>
      </w:tr>
      <w:tr w:rsidR="00251172" w:rsidRPr="005F0E01" w14:paraId="21E3FBF8" w14:textId="77777777" w:rsidTr="00374474">
        <w:tc>
          <w:tcPr>
            <w:tcW w:w="1260" w:type="dxa"/>
            <w:vAlign w:val="center"/>
          </w:tcPr>
          <w:p w14:paraId="0E9C6503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Station yrs.</w:t>
            </w:r>
          </w:p>
        </w:tc>
        <w:tc>
          <w:tcPr>
            <w:tcW w:w="900" w:type="dxa"/>
            <w:vAlign w:val="center"/>
          </w:tcPr>
          <w:p w14:paraId="20DBD180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14:paraId="2C00D1D3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14:paraId="367E5994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14:paraId="283F5903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center"/>
          </w:tcPr>
          <w:p w14:paraId="21467E31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14:paraId="2863D6D3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center"/>
          </w:tcPr>
          <w:p w14:paraId="193518E6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center"/>
          </w:tcPr>
          <w:p w14:paraId="2508E488" w14:textId="77777777" w:rsidR="00251172" w:rsidRPr="005F0E01" w:rsidRDefault="00251172" w:rsidP="00251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center"/>
          </w:tcPr>
          <w:p w14:paraId="6133F8FD" w14:textId="77777777" w:rsidR="00251172" w:rsidRPr="005F0E01" w:rsidRDefault="00251172" w:rsidP="00251172">
            <w:pPr>
              <w:pStyle w:val="BodyText"/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6132F" w:rsidRPr="005F0E01" w14:paraId="58A6EC86" w14:textId="77777777" w:rsidTr="00374474">
        <w:tc>
          <w:tcPr>
            <w:tcW w:w="1260" w:type="dxa"/>
            <w:vAlign w:val="center"/>
          </w:tcPr>
          <w:p w14:paraId="42462ED0" w14:textId="77A40461" w:rsidR="0066132F" w:rsidRPr="005F0E01" w:rsidRDefault="0066132F" w:rsidP="00C409F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 Shelf</w:t>
            </w:r>
          </w:p>
        </w:tc>
        <w:tc>
          <w:tcPr>
            <w:tcW w:w="900" w:type="dxa"/>
          </w:tcPr>
          <w:p w14:paraId="197EB39D" w14:textId="6A48F2A6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98.8</w:t>
            </w:r>
          </w:p>
        </w:tc>
        <w:tc>
          <w:tcPr>
            <w:tcW w:w="900" w:type="dxa"/>
          </w:tcPr>
          <w:p w14:paraId="2CBD3D8B" w14:textId="0B91BC6D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84.0</w:t>
            </w:r>
          </w:p>
        </w:tc>
        <w:tc>
          <w:tcPr>
            <w:tcW w:w="900" w:type="dxa"/>
          </w:tcPr>
          <w:p w14:paraId="72EEB71D" w14:textId="70F64736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11.4</w:t>
            </w:r>
          </w:p>
        </w:tc>
        <w:tc>
          <w:tcPr>
            <w:tcW w:w="900" w:type="dxa"/>
          </w:tcPr>
          <w:p w14:paraId="4AF3C786" w14:textId="3316C380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5.3</w:t>
            </w:r>
          </w:p>
        </w:tc>
        <w:tc>
          <w:tcPr>
            <w:tcW w:w="720" w:type="dxa"/>
          </w:tcPr>
          <w:p w14:paraId="053A406B" w14:textId="0B56DA19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48.6</w:t>
            </w:r>
          </w:p>
        </w:tc>
        <w:tc>
          <w:tcPr>
            <w:tcW w:w="1080" w:type="dxa"/>
          </w:tcPr>
          <w:p w14:paraId="26C5E918" w14:textId="1DF9A755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197</w:t>
            </w:r>
          </w:p>
        </w:tc>
        <w:tc>
          <w:tcPr>
            <w:tcW w:w="990" w:type="dxa"/>
          </w:tcPr>
          <w:p w14:paraId="118BF53E" w14:textId="0D952ED7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110</w:t>
            </w:r>
          </w:p>
        </w:tc>
        <w:tc>
          <w:tcPr>
            <w:tcW w:w="810" w:type="dxa"/>
          </w:tcPr>
          <w:p w14:paraId="414C15DA" w14:textId="2F32A21B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85</w:t>
            </w:r>
          </w:p>
        </w:tc>
        <w:tc>
          <w:tcPr>
            <w:tcW w:w="810" w:type="dxa"/>
          </w:tcPr>
          <w:p w14:paraId="1EEF2D3B" w14:textId="4481C1E5" w:rsidR="0066132F" w:rsidRPr="005F0E01" w:rsidRDefault="0066132F" w:rsidP="0066132F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A87A26">
              <w:t>279</w:t>
            </w:r>
          </w:p>
        </w:tc>
      </w:tr>
      <w:tr w:rsidR="0066132F" w:rsidRPr="005F0E01" w14:paraId="49CFC683" w14:textId="77777777" w:rsidTr="00374474">
        <w:tc>
          <w:tcPr>
            <w:tcW w:w="1260" w:type="dxa"/>
            <w:vAlign w:val="center"/>
          </w:tcPr>
          <w:p w14:paraId="16CCC472" w14:textId="40F85119" w:rsidR="0066132F" w:rsidRPr="005F0E01" w:rsidRDefault="0066132F" w:rsidP="006613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Wintmalt</w:t>
            </w:r>
          </w:p>
        </w:tc>
        <w:tc>
          <w:tcPr>
            <w:tcW w:w="900" w:type="dxa"/>
          </w:tcPr>
          <w:p w14:paraId="4899153E" w14:textId="114BFCEF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94.6</w:t>
            </w:r>
          </w:p>
        </w:tc>
        <w:tc>
          <w:tcPr>
            <w:tcW w:w="900" w:type="dxa"/>
          </w:tcPr>
          <w:p w14:paraId="33D0BE78" w14:textId="2B330FED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81.0</w:t>
            </w:r>
          </w:p>
        </w:tc>
        <w:tc>
          <w:tcPr>
            <w:tcW w:w="900" w:type="dxa"/>
          </w:tcPr>
          <w:p w14:paraId="6A27DE5A" w14:textId="60F6CC4A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10.8</w:t>
            </w:r>
          </w:p>
        </w:tc>
        <w:tc>
          <w:tcPr>
            <w:tcW w:w="900" w:type="dxa"/>
          </w:tcPr>
          <w:p w14:paraId="168A1DF5" w14:textId="770820E0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4.6</w:t>
            </w:r>
          </w:p>
        </w:tc>
        <w:tc>
          <w:tcPr>
            <w:tcW w:w="720" w:type="dxa"/>
          </w:tcPr>
          <w:p w14:paraId="4BABEBC3" w14:textId="0DE22418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45.9</w:t>
            </w:r>
          </w:p>
        </w:tc>
        <w:tc>
          <w:tcPr>
            <w:tcW w:w="1080" w:type="dxa"/>
          </w:tcPr>
          <w:p w14:paraId="1D8074AE" w14:textId="378F63CB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145</w:t>
            </w:r>
          </w:p>
        </w:tc>
        <w:tc>
          <w:tcPr>
            <w:tcW w:w="990" w:type="dxa"/>
          </w:tcPr>
          <w:p w14:paraId="6408ECB5" w14:textId="12F429A2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68</w:t>
            </w:r>
          </w:p>
        </w:tc>
        <w:tc>
          <w:tcPr>
            <w:tcW w:w="810" w:type="dxa"/>
          </w:tcPr>
          <w:p w14:paraId="456DD01E" w14:textId="3BEDD8E2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97</w:t>
            </w:r>
          </w:p>
        </w:tc>
        <w:tc>
          <w:tcPr>
            <w:tcW w:w="810" w:type="dxa"/>
          </w:tcPr>
          <w:p w14:paraId="20D5EC1D" w14:textId="2EA63650" w:rsidR="0066132F" w:rsidRPr="005F0E01" w:rsidRDefault="0066132F" w:rsidP="0066132F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A87A26">
              <w:t>174</w:t>
            </w:r>
          </w:p>
        </w:tc>
      </w:tr>
      <w:tr w:rsidR="0066132F" w:rsidRPr="005F0E01" w14:paraId="1CA16A71" w14:textId="77777777" w:rsidTr="00374474">
        <w:tc>
          <w:tcPr>
            <w:tcW w:w="1260" w:type="dxa"/>
            <w:vAlign w:val="center"/>
          </w:tcPr>
          <w:p w14:paraId="42FF6F59" w14:textId="397E573B" w:rsidR="0066132F" w:rsidRPr="005F0E01" w:rsidRDefault="0066132F" w:rsidP="006613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Thunder</w:t>
            </w:r>
          </w:p>
        </w:tc>
        <w:tc>
          <w:tcPr>
            <w:tcW w:w="900" w:type="dxa"/>
          </w:tcPr>
          <w:p w14:paraId="5C5F886A" w14:textId="3EE546CE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96.4</w:t>
            </w:r>
          </w:p>
        </w:tc>
        <w:tc>
          <w:tcPr>
            <w:tcW w:w="900" w:type="dxa"/>
          </w:tcPr>
          <w:p w14:paraId="5801379A" w14:textId="7CDA148A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82.6</w:t>
            </w:r>
          </w:p>
        </w:tc>
        <w:tc>
          <w:tcPr>
            <w:tcW w:w="900" w:type="dxa"/>
          </w:tcPr>
          <w:p w14:paraId="41BEFAC4" w14:textId="5552EBD1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10.8</w:t>
            </w:r>
          </w:p>
        </w:tc>
        <w:tc>
          <w:tcPr>
            <w:tcW w:w="900" w:type="dxa"/>
          </w:tcPr>
          <w:p w14:paraId="56A719A7" w14:textId="692D8A2A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5.7</w:t>
            </w:r>
          </w:p>
        </w:tc>
        <w:tc>
          <w:tcPr>
            <w:tcW w:w="720" w:type="dxa"/>
          </w:tcPr>
          <w:p w14:paraId="638FFD73" w14:textId="131A53EA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57.3</w:t>
            </w:r>
          </w:p>
        </w:tc>
        <w:tc>
          <w:tcPr>
            <w:tcW w:w="1080" w:type="dxa"/>
          </w:tcPr>
          <w:p w14:paraId="25FB0031" w14:textId="7411E5A3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160</w:t>
            </w:r>
          </w:p>
        </w:tc>
        <w:tc>
          <w:tcPr>
            <w:tcW w:w="990" w:type="dxa"/>
          </w:tcPr>
          <w:p w14:paraId="2943225B" w14:textId="6DA38FCE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123</w:t>
            </w:r>
          </w:p>
        </w:tc>
        <w:tc>
          <w:tcPr>
            <w:tcW w:w="810" w:type="dxa"/>
          </w:tcPr>
          <w:p w14:paraId="0F89CCA3" w14:textId="36D0B9C3" w:rsidR="0066132F" w:rsidRPr="005F0E01" w:rsidRDefault="0066132F" w:rsidP="0066132F">
            <w:pPr>
              <w:jc w:val="center"/>
              <w:rPr>
                <w:sz w:val="22"/>
                <w:szCs w:val="22"/>
              </w:rPr>
            </w:pPr>
            <w:r w:rsidRPr="00A87A26">
              <w:t>82</w:t>
            </w:r>
          </w:p>
        </w:tc>
        <w:tc>
          <w:tcPr>
            <w:tcW w:w="810" w:type="dxa"/>
          </w:tcPr>
          <w:p w14:paraId="347C38F2" w14:textId="00734549" w:rsidR="0066132F" w:rsidRPr="005F0E01" w:rsidRDefault="0066132F" w:rsidP="0066132F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A87A26">
              <w:t>281</w:t>
            </w:r>
          </w:p>
        </w:tc>
      </w:tr>
    </w:tbl>
    <w:p w14:paraId="661E18B2" w14:textId="77777777" w:rsidR="00251172" w:rsidRPr="005F0E01" w:rsidRDefault="00251172" w:rsidP="00251172">
      <w:pPr>
        <w:pStyle w:val="BodyText"/>
        <w:spacing w:line="240" w:lineRule="auto"/>
        <w:rPr>
          <w:sz w:val="20"/>
        </w:rPr>
      </w:pPr>
      <w:r w:rsidRPr="005F0E01">
        <w:rPr>
          <w:sz w:val="20"/>
          <w:vertAlign w:val="superscript"/>
        </w:rPr>
        <w:t>1</w:t>
      </w:r>
      <w:r w:rsidRPr="005F0E01">
        <w:rPr>
          <w:sz w:val="20"/>
        </w:rPr>
        <w:t>Data courtesy of the USDA-ARS Cereal Crops Research Unit, Madison, WI.</w:t>
      </w:r>
    </w:p>
    <w:p w14:paraId="2BA65309" w14:textId="77777777" w:rsidR="00251172" w:rsidRDefault="00251172" w:rsidP="00251172">
      <w:pPr>
        <w:pStyle w:val="BodyText"/>
        <w:spacing w:line="240" w:lineRule="auto"/>
        <w:rPr>
          <w:szCs w:val="24"/>
        </w:rPr>
      </w:pPr>
    </w:p>
    <w:p w14:paraId="6C1B0034" w14:textId="77777777" w:rsidR="00A66132" w:rsidRPr="00003965" w:rsidRDefault="00A66132" w:rsidP="00251172">
      <w:pPr>
        <w:pStyle w:val="BodyText"/>
        <w:spacing w:line="240" w:lineRule="auto"/>
        <w:rPr>
          <w:szCs w:val="24"/>
        </w:rPr>
      </w:pPr>
    </w:p>
    <w:p w14:paraId="2AA251C4" w14:textId="02FFBE23" w:rsidR="00715432" w:rsidRDefault="00715432" w:rsidP="00715432">
      <w:pPr>
        <w:pStyle w:val="BodyText"/>
        <w:spacing w:line="240" w:lineRule="auto"/>
        <w:rPr>
          <w:szCs w:val="24"/>
        </w:rPr>
      </w:pPr>
      <w:r w:rsidRPr="00D835BE">
        <w:rPr>
          <w:b/>
          <w:szCs w:val="24"/>
        </w:rPr>
        <w:lastRenderedPageBreak/>
        <w:t xml:space="preserve">Table </w:t>
      </w:r>
      <w:r w:rsidR="00656A8E">
        <w:rPr>
          <w:b/>
          <w:szCs w:val="24"/>
        </w:rPr>
        <w:t>5</w:t>
      </w:r>
      <w:r>
        <w:rPr>
          <w:b/>
          <w:szCs w:val="24"/>
        </w:rPr>
        <w:t>.</w:t>
      </w:r>
      <w:r w:rsidRPr="00D835BE">
        <w:rPr>
          <w:szCs w:val="24"/>
        </w:rPr>
        <w:t xml:space="preserve">  Malt quality of </w:t>
      </w:r>
      <w:r>
        <w:rPr>
          <w:szCs w:val="24"/>
        </w:rPr>
        <w:t>Top Shelf</w:t>
      </w:r>
      <w:r w:rsidRPr="00D835BE">
        <w:rPr>
          <w:szCs w:val="24"/>
        </w:rPr>
        <w:t xml:space="preserve"> and </w:t>
      </w:r>
      <w:r>
        <w:rPr>
          <w:szCs w:val="24"/>
        </w:rPr>
        <w:t xml:space="preserve">Thunder </w:t>
      </w:r>
      <w:r w:rsidRPr="00D835BE">
        <w:rPr>
          <w:szCs w:val="24"/>
        </w:rPr>
        <w:t>grown in Oregon</w:t>
      </w:r>
      <w:r>
        <w:rPr>
          <w:szCs w:val="24"/>
        </w:rPr>
        <w:t xml:space="preserve"> </w:t>
      </w:r>
      <w:r w:rsidRPr="00D835BE">
        <w:rPr>
          <w:szCs w:val="24"/>
        </w:rPr>
        <w:t>2021</w:t>
      </w:r>
      <w:r>
        <w:rPr>
          <w:szCs w:val="24"/>
        </w:rPr>
        <w:t>. Pilot malted at OSU and analyzed at Hartwick College.</w:t>
      </w:r>
    </w:p>
    <w:p w14:paraId="302795EF" w14:textId="1C047ED7" w:rsidR="00715432" w:rsidRPr="00D835BE" w:rsidRDefault="00715432" w:rsidP="00715432">
      <w:pPr>
        <w:pStyle w:val="BodyText"/>
        <w:spacing w:line="240" w:lineRule="auto"/>
        <w:rPr>
          <w:szCs w:val="24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194"/>
        <w:gridCol w:w="852"/>
        <w:gridCol w:w="840"/>
        <w:gridCol w:w="840"/>
        <w:gridCol w:w="636"/>
        <w:gridCol w:w="1009"/>
        <w:gridCol w:w="990"/>
        <w:gridCol w:w="803"/>
        <w:gridCol w:w="754"/>
        <w:gridCol w:w="1438"/>
      </w:tblGrid>
      <w:tr w:rsidR="00715432" w:rsidRPr="00D835BE" w14:paraId="4FCCFC91" w14:textId="77777777" w:rsidTr="00E57AE6">
        <w:tc>
          <w:tcPr>
            <w:tcW w:w="638" w:type="pct"/>
          </w:tcPr>
          <w:p w14:paraId="79AFC178" w14:textId="53E3C6D3" w:rsidR="00715432" w:rsidRPr="00D835BE" w:rsidRDefault="00715432" w:rsidP="00E57AE6">
            <w:pPr>
              <w:pStyle w:val="BodyText"/>
              <w:spacing w:line="240" w:lineRule="auto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Entry</w:t>
            </w:r>
          </w:p>
        </w:tc>
        <w:tc>
          <w:tcPr>
            <w:tcW w:w="455" w:type="pct"/>
          </w:tcPr>
          <w:p w14:paraId="669E1C04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Malt Extract (%)</w:t>
            </w:r>
          </w:p>
        </w:tc>
        <w:tc>
          <w:tcPr>
            <w:tcW w:w="449" w:type="pct"/>
          </w:tcPr>
          <w:p w14:paraId="5AA5B65E" w14:textId="535DF4B2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Malt</w:t>
            </w:r>
            <w:r w:rsidRPr="00D835BE">
              <w:rPr>
                <w:sz w:val="22"/>
                <w:szCs w:val="24"/>
              </w:rPr>
              <w:t xml:space="preserve"> protein (%)</w:t>
            </w:r>
          </w:p>
        </w:tc>
        <w:tc>
          <w:tcPr>
            <w:tcW w:w="449" w:type="pct"/>
          </w:tcPr>
          <w:p w14:paraId="22522A16" w14:textId="634D4B91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Wort protein (%)</w:t>
            </w:r>
          </w:p>
        </w:tc>
        <w:tc>
          <w:tcPr>
            <w:tcW w:w="340" w:type="pct"/>
          </w:tcPr>
          <w:p w14:paraId="45256416" w14:textId="452D919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S/T</w:t>
            </w:r>
          </w:p>
          <w:p w14:paraId="467D6E84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(%)</w:t>
            </w:r>
          </w:p>
        </w:tc>
        <w:tc>
          <w:tcPr>
            <w:tcW w:w="539" w:type="pct"/>
          </w:tcPr>
          <w:p w14:paraId="5505A594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DP</w:t>
            </w:r>
          </w:p>
          <w:p w14:paraId="54AE009F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(</w:t>
            </w:r>
            <w:r w:rsidRPr="00D835BE">
              <w:rPr>
                <w:sz w:val="22"/>
                <w:szCs w:val="24"/>
                <w:vertAlign w:val="superscript"/>
              </w:rPr>
              <w:t>0</w:t>
            </w:r>
            <w:r w:rsidRPr="00D835BE">
              <w:rPr>
                <w:sz w:val="22"/>
                <w:szCs w:val="24"/>
              </w:rPr>
              <w:t>ASBC)</w:t>
            </w:r>
          </w:p>
        </w:tc>
        <w:tc>
          <w:tcPr>
            <w:tcW w:w="529" w:type="pct"/>
          </w:tcPr>
          <w:p w14:paraId="325AB625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Alpha amylase</w:t>
            </w:r>
          </w:p>
          <w:p w14:paraId="5D0A6FDF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(20°DU)</w:t>
            </w:r>
          </w:p>
        </w:tc>
        <w:tc>
          <w:tcPr>
            <w:tcW w:w="429" w:type="pct"/>
          </w:tcPr>
          <w:p w14:paraId="7472B452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Beta glucan</w:t>
            </w:r>
          </w:p>
          <w:p w14:paraId="6F7CA6B9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(ppm)</w:t>
            </w:r>
          </w:p>
        </w:tc>
        <w:tc>
          <w:tcPr>
            <w:tcW w:w="403" w:type="pct"/>
          </w:tcPr>
          <w:p w14:paraId="1C14E7A4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FAN</w:t>
            </w:r>
          </w:p>
          <w:p w14:paraId="69074FB9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 w:rsidRPr="00D835BE">
              <w:rPr>
                <w:sz w:val="22"/>
                <w:szCs w:val="24"/>
              </w:rPr>
              <w:t>(ppm)</w:t>
            </w:r>
          </w:p>
        </w:tc>
        <w:tc>
          <w:tcPr>
            <w:tcW w:w="768" w:type="pct"/>
          </w:tcPr>
          <w:p w14:paraId="588A618B" w14:textId="77777777" w:rsidR="00715432" w:rsidRPr="00D835BE" w:rsidRDefault="00715432" w:rsidP="00E57AE6">
            <w:pPr>
              <w:pStyle w:val="BodyText"/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PSY (LAA/</w:t>
            </w:r>
            <w:proofErr w:type="spellStart"/>
            <w:r>
              <w:rPr>
                <w:sz w:val="22"/>
                <w:szCs w:val="24"/>
              </w:rPr>
              <w:t>Tonne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</w:tr>
      <w:tr w:rsidR="00715432" w:rsidRPr="00D835BE" w14:paraId="1B58FBB1" w14:textId="77777777" w:rsidTr="00E57AE6">
        <w:tc>
          <w:tcPr>
            <w:tcW w:w="638" w:type="pct"/>
            <w:vAlign w:val="center"/>
          </w:tcPr>
          <w:p w14:paraId="0602362C" w14:textId="4E9D0B01" w:rsidR="00715432" w:rsidRPr="00D835BE" w:rsidRDefault="0088179C" w:rsidP="00E57AE6">
            <w:pPr>
              <w:rPr>
                <w:sz w:val="22"/>
              </w:rPr>
            </w:pPr>
            <w:r>
              <w:rPr>
                <w:sz w:val="22"/>
              </w:rPr>
              <w:t>Top Shelf</w:t>
            </w:r>
          </w:p>
        </w:tc>
        <w:tc>
          <w:tcPr>
            <w:tcW w:w="455" w:type="pct"/>
          </w:tcPr>
          <w:p w14:paraId="1DE4F441" w14:textId="77777777" w:rsidR="00715432" w:rsidRPr="00C409F8" w:rsidRDefault="00715432" w:rsidP="00E57AE6">
            <w:pPr>
              <w:jc w:val="center"/>
            </w:pPr>
            <w:r w:rsidRPr="00C409F8">
              <w:t>84.4</w:t>
            </w:r>
          </w:p>
        </w:tc>
        <w:tc>
          <w:tcPr>
            <w:tcW w:w="449" w:type="pct"/>
          </w:tcPr>
          <w:p w14:paraId="737B12EA" w14:textId="77777777" w:rsidR="00715432" w:rsidRPr="00C409F8" w:rsidRDefault="00715432" w:rsidP="00E57AE6">
            <w:pPr>
              <w:jc w:val="center"/>
            </w:pPr>
            <w:r w:rsidRPr="00C409F8">
              <w:t>12.1</w:t>
            </w:r>
          </w:p>
        </w:tc>
        <w:tc>
          <w:tcPr>
            <w:tcW w:w="449" w:type="pct"/>
          </w:tcPr>
          <w:p w14:paraId="539188C7" w14:textId="77777777" w:rsidR="00715432" w:rsidRPr="00C409F8" w:rsidRDefault="00715432" w:rsidP="00E57AE6">
            <w:pPr>
              <w:jc w:val="center"/>
            </w:pPr>
            <w:r w:rsidRPr="00C409F8">
              <w:t>6.11</w:t>
            </w:r>
          </w:p>
        </w:tc>
        <w:tc>
          <w:tcPr>
            <w:tcW w:w="340" w:type="pct"/>
          </w:tcPr>
          <w:p w14:paraId="1139182E" w14:textId="77777777" w:rsidR="00715432" w:rsidRPr="00C409F8" w:rsidRDefault="00715432" w:rsidP="00E57AE6">
            <w:pPr>
              <w:jc w:val="center"/>
            </w:pPr>
            <w:r w:rsidRPr="00C409F8">
              <w:t>50.5</w:t>
            </w:r>
          </w:p>
        </w:tc>
        <w:tc>
          <w:tcPr>
            <w:tcW w:w="539" w:type="pct"/>
          </w:tcPr>
          <w:p w14:paraId="5661670A" w14:textId="77777777" w:rsidR="00715432" w:rsidRPr="00C409F8" w:rsidRDefault="00715432" w:rsidP="00E57AE6">
            <w:pPr>
              <w:jc w:val="center"/>
            </w:pPr>
            <w:r w:rsidRPr="00C409F8">
              <w:t>200</w:t>
            </w:r>
          </w:p>
        </w:tc>
        <w:tc>
          <w:tcPr>
            <w:tcW w:w="529" w:type="pct"/>
          </w:tcPr>
          <w:p w14:paraId="71BACBAA" w14:textId="77777777" w:rsidR="00715432" w:rsidRPr="00C409F8" w:rsidRDefault="00715432" w:rsidP="00E57AE6">
            <w:pPr>
              <w:jc w:val="center"/>
            </w:pPr>
            <w:r w:rsidRPr="00C409F8">
              <w:t>80.9</w:t>
            </w:r>
          </w:p>
        </w:tc>
        <w:tc>
          <w:tcPr>
            <w:tcW w:w="429" w:type="pct"/>
          </w:tcPr>
          <w:p w14:paraId="26241B37" w14:textId="77777777" w:rsidR="00715432" w:rsidRPr="00C409F8" w:rsidRDefault="00715432" w:rsidP="00E57AE6">
            <w:pPr>
              <w:jc w:val="center"/>
            </w:pPr>
            <w:r w:rsidRPr="00C409F8">
              <w:t>70</w:t>
            </w:r>
          </w:p>
        </w:tc>
        <w:tc>
          <w:tcPr>
            <w:tcW w:w="403" w:type="pct"/>
          </w:tcPr>
          <w:p w14:paraId="5234DA88" w14:textId="77777777" w:rsidR="00715432" w:rsidRPr="00C409F8" w:rsidRDefault="00715432" w:rsidP="00E57AE6">
            <w:pPr>
              <w:pStyle w:val="BodyText"/>
              <w:spacing w:line="240" w:lineRule="auto"/>
              <w:jc w:val="center"/>
              <w:rPr>
                <w:szCs w:val="24"/>
              </w:rPr>
            </w:pPr>
            <w:r w:rsidRPr="00C409F8">
              <w:rPr>
                <w:szCs w:val="24"/>
              </w:rPr>
              <w:t>284</w:t>
            </w:r>
          </w:p>
        </w:tc>
        <w:tc>
          <w:tcPr>
            <w:tcW w:w="768" w:type="pct"/>
          </w:tcPr>
          <w:p w14:paraId="50B06D2B" w14:textId="77777777" w:rsidR="00715432" w:rsidRPr="00C409F8" w:rsidRDefault="00715432" w:rsidP="00E57AE6">
            <w:pPr>
              <w:pStyle w:val="BodyText"/>
              <w:spacing w:line="240" w:lineRule="auto"/>
              <w:jc w:val="center"/>
              <w:rPr>
                <w:szCs w:val="24"/>
              </w:rPr>
            </w:pPr>
            <w:r w:rsidRPr="00C409F8">
              <w:rPr>
                <w:szCs w:val="24"/>
              </w:rPr>
              <w:t>409</w:t>
            </w:r>
          </w:p>
        </w:tc>
      </w:tr>
      <w:tr w:rsidR="00715432" w:rsidRPr="00D835BE" w14:paraId="505B32C2" w14:textId="77777777" w:rsidTr="00E57AE6">
        <w:tc>
          <w:tcPr>
            <w:tcW w:w="638" w:type="pct"/>
            <w:vAlign w:val="center"/>
          </w:tcPr>
          <w:p w14:paraId="3FBC6C73" w14:textId="77777777" w:rsidR="00715432" w:rsidRPr="00D835BE" w:rsidRDefault="00715432" w:rsidP="00E57AE6">
            <w:pPr>
              <w:rPr>
                <w:sz w:val="22"/>
              </w:rPr>
            </w:pPr>
            <w:r w:rsidRPr="00D835BE">
              <w:rPr>
                <w:sz w:val="22"/>
              </w:rPr>
              <w:t>Thunder</w:t>
            </w:r>
          </w:p>
        </w:tc>
        <w:tc>
          <w:tcPr>
            <w:tcW w:w="455" w:type="pct"/>
          </w:tcPr>
          <w:p w14:paraId="3A9945A1" w14:textId="77777777" w:rsidR="00715432" w:rsidRPr="006643FE" w:rsidRDefault="00715432" w:rsidP="00E57AE6">
            <w:pPr>
              <w:jc w:val="center"/>
            </w:pPr>
            <w:r w:rsidRPr="006643FE">
              <w:t>83.4</w:t>
            </w:r>
          </w:p>
        </w:tc>
        <w:tc>
          <w:tcPr>
            <w:tcW w:w="449" w:type="pct"/>
          </w:tcPr>
          <w:p w14:paraId="251100C4" w14:textId="77777777" w:rsidR="00715432" w:rsidRPr="006643FE" w:rsidRDefault="00715432" w:rsidP="00E57AE6">
            <w:pPr>
              <w:jc w:val="center"/>
            </w:pPr>
            <w:r w:rsidRPr="006643FE">
              <w:t>10.7</w:t>
            </w:r>
          </w:p>
        </w:tc>
        <w:tc>
          <w:tcPr>
            <w:tcW w:w="449" w:type="pct"/>
          </w:tcPr>
          <w:p w14:paraId="1857196D" w14:textId="77777777" w:rsidR="00715432" w:rsidRPr="006643FE" w:rsidRDefault="00715432" w:rsidP="00E57AE6">
            <w:pPr>
              <w:jc w:val="center"/>
            </w:pPr>
            <w:r w:rsidRPr="006643FE">
              <w:t>5.63</w:t>
            </w:r>
          </w:p>
        </w:tc>
        <w:tc>
          <w:tcPr>
            <w:tcW w:w="340" w:type="pct"/>
          </w:tcPr>
          <w:p w14:paraId="6077233E" w14:textId="77777777" w:rsidR="00715432" w:rsidRPr="006643FE" w:rsidRDefault="00715432" w:rsidP="00E57AE6">
            <w:pPr>
              <w:jc w:val="center"/>
            </w:pPr>
            <w:r w:rsidRPr="006643FE">
              <w:t>52.6</w:t>
            </w:r>
          </w:p>
        </w:tc>
        <w:tc>
          <w:tcPr>
            <w:tcW w:w="539" w:type="pct"/>
          </w:tcPr>
          <w:p w14:paraId="558FE7A6" w14:textId="77777777" w:rsidR="00715432" w:rsidRPr="006643FE" w:rsidRDefault="00715432" w:rsidP="00E57AE6">
            <w:pPr>
              <w:jc w:val="center"/>
            </w:pPr>
            <w:r w:rsidRPr="006643FE">
              <w:t>162</w:t>
            </w:r>
          </w:p>
        </w:tc>
        <w:tc>
          <w:tcPr>
            <w:tcW w:w="529" w:type="pct"/>
          </w:tcPr>
          <w:p w14:paraId="0CB6BB40" w14:textId="77777777" w:rsidR="00715432" w:rsidRPr="006643FE" w:rsidRDefault="00715432" w:rsidP="00E57AE6">
            <w:pPr>
              <w:jc w:val="center"/>
            </w:pPr>
            <w:r w:rsidRPr="006643FE">
              <w:t>85.3</w:t>
            </w:r>
          </w:p>
        </w:tc>
        <w:tc>
          <w:tcPr>
            <w:tcW w:w="429" w:type="pct"/>
          </w:tcPr>
          <w:p w14:paraId="593A47F6" w14:textId="77777777" w:rsidR="00715432" w:rsidRPr="006643FE" w:rsidRDefault="00715432" w:rsidP="00E57AE6">
            <w:pPr>
              <w:jc w:val="center"/>
            </w:pPr>
            <w:r w:rsidRPr="006643FE">
              <w:t>83</w:t>
            </w:r>
          </w:p>
        </w:tc>
        <w:tc>
          <w:tcPr>
            <w:tcW w:w="403" w:type="pct"/>
          </w:tcPr>
          <w:p w14:paraId="2BE78DAC" w14:textId="77777777" w:rsidR="00715432" w:rsidRPr="006643FE" w:rsidRDefault="00715432" w:rsidP="00E57AE6">
            <w:pPr>
              <w:pStyle w:val="BodyText"/>
              <w:spacing w:line="240" w:lineRule="auto"/>
              <w:jc w:val="center"/>
              <w:rPr>
                <w:szCs w:val="24"/>
              </w:rPr>
            </w:pPr>
            <w:r w:rsidRPr="006643FE">
              <w:rPr>
                <w:szCs w:val="24"/>
              </w:rPr>
              <w:t>267</w:t>
            </w:r>
          </w:p>
        </w:tc>
        <w:tc>
          <w:tcPr>
            <w:tcW w:w="768" w:type="pct"/>
          </w:tcPr>
          <w:p w14:paraId="6D32C923" w14:textId="77777777" w:rsidR="00715432" w:rsidRPr="006643FE" w:rsidRDefault="00715432" w:rsidP="00E57AE6">
            <w:pPr>
              <w:pStyle w:val="BodyText"/>
              <w:spacing w:line="240" w:lineRule="auto"/>
              <w:jc w:val="center"/>
              <w:rPr>
                <w:szCs w:val="24"/>
              </w:rPr>
            </w:pPr>
            <w:r w:rsidRPr="006643FE">
              <w:rPr>
                <w:szCs w:val="24"/>
              </w:rPr>
              <w:t>405</w:t>
            </w:r>
          </w:p>
        </w:tc>
      </w:tr>
    </w:tbl>
    <w:p w14:paraId="462A57B1" w14:textId="77777777" w:rsidR="00402E4B" w:rsidRDefault="00402E4B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Cs w:val="22"/>
        </w:rPr>
      </w:pPr>
    </w:p>
    <w:p w14:paraId="41687AC7" w14:textId="05DF49C1" w:rsidR="0028767A" w:rsidRDefault="0028767A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F0E01">
        <w:rPr>
          <w:b/>
          <w:szCs w:val="22"/>
        </w:rPr>
        <w:t xml:space="preserve">Table </w:t>
      </w:r>
      <w:r w:rsidR="00656A8E">
        <w:rPr>
          <w:b/>
          <w:szCs w:val="22"/>
        </w:rPr>
        <w:t>6</w:t>
      </w:r>
      <w:r w:rsidRPr="005F0E01">
        <w:rPr>
          <w:szCs w:val="22"/>
        </w:rPr>
        <w:t>.</w:t>
      </w:r>
      <w:r w:rsidRPr="0028767A">
        <w:t xml:space="preserve"> </w:t>
      </w:r>
      <w:r>
        <w:t>Malt quality of Top Shelf at increasing protein levels, grown in Corvallis, OR 2021. Micro-malted and analyzed at USDA-ARS CCRU.</w:t>
      </w:r>
    </w:p>
    <w:p w14:paraId="1ECAC279" w14:textId="7DC04FEB" w:rsidR="0028767A" w:rsidRDefault="0028767A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u w:val="single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1251"/>
        <w:gridCol w:w="840"/>
        <w:gridCol w:w="911"/>
        <w:gridCol w:w="852"/>
        <w:gridCol w:w="856"/>
        <w:gridCol w:w="636"/>
        <w:gridCol w:w="1008"/>
        <w:gridCol w:w="989"/>
        <w:gridCol w:w="803"/>
        <w:gridCol w:w="754"/>
      </w:tblGrid>
      <w:tr w:rsidR="0028767A" w14:paraId="6668F933" w14:textId="77777777" w:rsidTr="00E57AE6">
        <w:trPr>
          <w:trHeight w:val="600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ED54" w14:textId="77777777" w:rsidR="0028767A" w:rsidRDefault="0028767A" w:rsidP="00E57A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Entry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7C51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Barley protein (%)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103C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Plump Kernels (%)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9B58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Malt Extract (%)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7F1A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Wort protein (%)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ACEF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S/T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3846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DP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9B0A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Alpha amylase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9EA8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Beta glucan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6C92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FAN</w:t>
            </w:r>
          </w:p>
        </w:tc>
      </w:tr>
      <w:tr w:rsidR="0028767A" w14:paraId="1823CDA7" w14:textId="77777777" w:rsidTr="00E57AE6">
        <w:trPr>
          <w:trHeight w:val="375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D0366" w14:textId="77777777" w:rsidR="0028767A" w:rsidRDefault="0028767A" w:rsidP="00E57A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85325" w14:textId="77777777" w:rsidR="0028767A" w:rsidRDefault="0028767A" w:rsidP="00E57A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A8C48" w14:textId="77777777" w:rsidR="0028767A" w:rsidRDefault="0028767A" w:rsidP="00E57A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477D4" w14:textId="77777777" w:rsidR="0028767A" w:rsidRDefault="0028767A" w:rsidP="00E57A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5D967" w14:textId="77777777" w:rsidR="0028767A" w:rsidRDefault="0028767A" w:rsidP="00E57A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3901" w14:textId="2F7B2F65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(%)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CD7B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  <w:szCs w:val="22"/>
                <w:vertAlign w:val="superscript"/>
              </w:rPr>
              <w:t>0</w:t>
            </w:r>
            <w:r>
              <w:rPr>
                <w:color w:val="000000"/>
                <w:sz w:val="22"/>
                <w:szCs w:val="22"/>
              </w:rPr>
              <w:t>ASBC)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B3BC" w14:textId="521189F4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(20°DU)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1B26" w14:textId="349D21D4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(ppm)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515B" w14:textId="77777777" w:rsidR="0028767A" w:rsidRDefault="0028767A" w:rsidP="00E57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(ppm)</w:t>
            </w:r>
          </w:p>
        </w:tc>
      </w:tr>
      <w:tr w:rsidR="0028767A" w14:paraId="6C0A52FB" w14:textId="77777777" w:rsidTr="00E57AE6">
        <w:trPr>
          <w:trHeight w:val="330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3EFC" w14:textId="58DF4D68" w:rsidR="0028767A" w:rsidRDefault="0088179C" w:rsidP="00E57A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Top Shelf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E0FAD" w14:textId="1C048843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9.4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C60A7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99.7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4A35C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85.1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1BDF34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5.7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EC57A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62.6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AAF44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2844B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39FAC1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5578DB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309</w:t>
            </w:r>
          </w:p>
        </w:tc>
      </w:tr>
      <w:tr w:rsidR="0028767A" w14:paraId="737F2E30" w14:textId="77777777" w:rsidTr="00E57AE6">
        <w:trPr>
          <w:trHeight w:val="330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56D3" w14:textId="7EAEC6D9" w:rsidR="0028767A" w:rsidRDefault="0088179C" w:rsidP="00E57A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Top Shelf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5CF5F" w14:textId="14BA2C7E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12.5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12682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99.6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F2F80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83.4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E3F73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6.6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52BF1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55.6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39E7B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259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C3BE09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E2194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B2174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349</w:t>
            </w:r>
          </w:p>
        </w:tc>
      </w:tr>
      <w:tr w:rsidR="0028767A" w14:paraId="7281C1B0" w14:textId="77777777" w:rsidTr="00E57AE6">
        <w:trPr>
          <w:trHeight w:val="330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D97A" w14:textId="41DA6FA3" w:rsidR="0028767A" w:rsidRDefault="0088179C" w:rsidP="00E57A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Top Shelf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308D7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12.9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27131E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99.6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55F21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82.9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F7124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6.6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47175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54.2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16741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256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B2E29C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C44C7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7526C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346</w:t>
            </w:r>
          </w:p>
        </w:tc>
      </w:tr>
      <w:tr w:rsidR="0028767A" w14:paraId="2D9D32DF" w14:textId="77777777" w:rsidTr="00E57AE6">
        <w:trPr>
          <w:trHeight w:val="330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6F93" w14:textId="4D726739" w:rsidR="0028767A" w:rsidRDefault="0088179C" w:rsidP="00E57A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Top Shelf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55750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13.2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343BE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99.6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ACC41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82.4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AC50F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6.7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6BC6C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53.6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74B42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279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EFC84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109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A301D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4B269" w14:textId="77777777" w:rsidR="0028767A" w:rsidRDefault="0028767A" w:rsidP="00E57AE6">
            <w:pPr>
              <w:jc w:val="center"/>
              <w:rPr>
                <w:color w:val="000000"/>
              </w:rPr>
            </w:pPr>
            <w:r w:rsidRPr="00101ABF">
              <w:t>355</w:t>
            </w:r>
          </w:p>
        </w:tc>
      </w:tr>
    </w:tbl>
    <w:p w14:paraId="495D6612" w14:textId="77777777" w:rsidR="0028767A" w:rsidRDefault="0028767A" w:rsidP="0025117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u w:val="single"/>
        </w:rPr>
      </w:pPr>
    </w:p>
    <w:p w14:paraId="25321DCC" w14:textId="2BD82A5D" w:rsidR="00162CC2" w:rsidRPr="00A10513" w:rsidRDefault="00162CC2" w:rsidP="00162C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</w:rPr>
      </w:pPr>
      <w:r w:rsidRPr="008D60C4">
        <w:rPr>
          <w:b/>
          <w:bCs/>
        </w:rPr>
        <w:t xml:space="preserve">Publications </w:t>
      </w:r>
      <w:r w:rsidR="00827C5F">
        <w:rPr>
          <w:b/>
          <w:bCs/>
        </w:rPr>
        <w:t>featuring</w:t>
      </w:r>
      <w:r w:rsidRPr="008D60C4">
        <w:rPr>
          <w:b/>
          <w:bCs/>
        </w:rPr>
        <w:t xml:space="preserve"> </w:t>
      </w:r>
      <w:r>
        <w:rPr>
          <w:b/>
          <w:bCs/>
        </w:rPr>
        <w:t>Top Shelf</w:t>
      </w:r>
      <w:r w:rsidRPr="008D60C4">
        <w:rPr>
          <w:b/>
          <w:bCs/>
        </w:rPr>
        <w:t xml:space="preserve">: </w:t>
      </w:r>
    </w:p>
    <w:p w14:paraId="31C1E3EB" w14:textId="2AED25EE" w:rsidR="002B5ABF" w:rsidRPr="002B5ABF" w:rsidRDefault="006B5AE8" w:rsidP="002B5AB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  <w:lang w:eastAsia="en-US"/>
        </w:rPr>
      </w:pPr>
      <w:r w:rsidRPr="006B5AE8">
        <w:t xml:space="preserve">Registration of “Top Shelf” barley: </w:t>
      </w:r>
      <w:r w:rsidR="002B5ABF">
        <w:t>the first glycosidic nitrile-null, winter malting cultivar to be released in North America. Morrissy et al. 2024. Journal of Plant Registrations.</w:t>
      </w:r>
    </w:p>
    <w:p w14:paraId="3694D05A" w14:textId="41B49220" w:rsidR="006B5AE8" w:rsidRPr="006B5AE8" w:rsidRDefault="006B5AE8" w:rsidP="00162C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  <w:lang w:eastAsia="en-US"/>
        </w:rPr>
      </w:pPr>
      <w:r w:rsidRPr="006B5AE8">
        <w:rPr>
          <w:color w:val="000000"/>
          <w:lang w:eastAsia="en-US"/>
        </w:rPr>
        <w:t xml:space="preserve">Code Name: Top Shelf. Morrissy et al. 2023. Artisan Spirit. </w:t>
      </w:r>
    </w:p>
    <w:p w14:paraId="46CA79AA" w14:textId="0216D9F7" w:rsidR="006B5AE8" w:rsidRPr="006B5AE8" w:rsidRDefault="00000000" w:rsidP="006B5AE8">
      <w:pPr>
        <w:pStyle w:val="ListParagraph"/>
        <w:autoSpaceDE w:val="0"/>
        <w:autoSpaceDN w:val="0"/>
        <w:adjustRightInd w:val="0"/>
        <w:rPr>
          <w:color w:val="000000"/>
          <w:lang w:eastAsia="en-US"/>
        </w:rPr>
      </w:pPr>
      <w:hyperlink r:id="rId8" w:history="1">
        <w:r w:rsidR="006B5AE8" w:rsidRPr="006B5AE8">
          <w:rPr>
            <w:rStyle w:val="Hyperlink"/>
            <w:lang w:eastAsia="en-US"/>
          </w:rPr>
          <w:t>https://issuu.com/artisanspiritmag/docs/artisanspirit_issue044_web</w:t>
        </w:r>
      </w:hyperlink>
    </w:p>
    <w:p w14:paraId="0EADF1CE" w14:textId="52919884" w:rsidR="00162CC2" w:rsidRPr="006B5AE8" w:rsidRDefault="00162CC2" w:rsidP="00162C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  <w:lang w:eastAsia="en-US"/>
        </w:rPr>
      </w:pPr>
      <w:r w:rsidRPr="006B5AE8">
        <w:rPr>
          <w:color w:val="000000"/>
          <w:lang w:eastAsia="en-US"/>
        </w:rPr>
        <w:t xml:space="preserve">Malting barley for North American distillers: Novel barley varieties meet and exceed contemporary expectations. </w:t>
      </w:r>
      <w:r w:rsidR="000D04C8" w:rsidRPr="006B5AE8">
        <w:rPr>
          <w:color w:val="000000"/>
          <w:lang w:eastAsia="en-US"/>
        </w:rPr>
        <w:t>Morrissy et al. 2024. Journal of Distilling Science.</w:t>
      </w:r>
    </w:p>
    <w:p w14:paraId="42222562" w14:textId="77777777" w:rsidR="00162CC2" w:rsidRPr="006B5AE8" w:rsidRDefault="00000000" w:rsidP="00162CC2">
      <w:pPr>
        <w:pStyle w:val="ListParagraph"/>
        <w:autoSpaceDE w:val="0"/>
        <w:autoSpaceDN w:val="0"/>
        <w:adjustRightInd w:val="0"/>
        <w:rPr>
          <w:color w:val="000000"/>
          <w:lang w:eastAsia="en-US"/>
        </w:rPr>
      </w:pPr>
      <w:hyperlink r:id="rId9" w:history="1">
        <w:r w:rsidR="00162CC2" w:rsidRPr="006B5AE8">
          <w:rPr>
            <w:rStyle w:val="Hyperlink"/>
          </w:rPr>
          <w:t>https://doi.org/10.61855/JDS0301.02</w:t>
        </w:r>
      </w:hyperlink>
    </w:p>
    <w:p w14:paraId="66F9C01E" w14:textId="3EA39905" w:rsidR="00E01508" w:rsidRPr="00C350C7" w:rsidRDefault="00E01508" w:rsidP="00162CC2"/>
    <w:sectPr w:rsidR="00E01508" w:rsidRPr="00C350C7" w:rsidSect="00E46447">
      <w:footerReference w:type="even" r:id="rId10"/>
      <w:footerReference w:type="default" r:id="rId11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69D2" w14:textId="77777777" w:rsidR="00E46447" w:rsidRDefault="00E46447">
      <w:r>
        <w:separator/>
      </w:r>
    </w:p>
  </w:endnote>
  <w:endnote w:type="continuationSeparator" w:id="0">
    <w:p w14:paraId="4C2304DE" w14:textId="77777777" w:rsidR="00E46447" w:rsidRDefault="00E4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BCG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3469" w14:textId="77777777" w:rsidR="00251172" w:rsidRDefault="00251172" w:rsidP="005A6F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28D8A" w14:textId="77777777" w:rsidR="00251172" w:rsidRDefault="00251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5532" w14:textId="77777777" w:rsidR="00251172" w:rsidRDefault="00251172" w:rsidP="005A6F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B4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00084273" w14:textId="77777777" w:rsidR="00251172" w:rsidRDefault="00251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E180" w14:textId="77777777" w:rsidR="00E46447" w:rsidRDefault="00E46447">
      <w:r>
        <w:separator/>
      </w:r>
    </w:p>
  </w:footnote>
  <w:footnote w:type="continuationSeparator" w:id="0">
    <w:p w14:paraId="45551957" w14:textId="77777777" w:rsidR="00E46447" w:rsidRDefault="00E4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C42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A139E"/>
    <w:multiLevelType w:val="hybridMultilevel"/>
    <w:tmpl w:val="B4522DCA"/>
    <w:lvl w:ilvl="0" w:tplc="4C049C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666E2"/>
    <w:multiLevelType w:val="hybridMultilevel"/>
    <w:tmpl w:val="E43E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F08B0"/>
    <w:multiLevelType w:val="hybridMultilevel"/>
    <w:tmpl w:val="E14EFC14"/>
    <w:lvl w:ilvl="0" w:tplc="55761C8E">
      <w:start w:val="17"/>
      <w:numFmt w:val="bullet"/>
      <w:lvlText w:val=""/>
      <w:lvlJc w:val="left"/>
      <w:pPr>
        <w:ind w:left="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16012361">
    <w:abstractNumId w:val="1"/>
  </w:num>
  <w:num w:numId="2" w16cid:durableId="1908563523">
    <w:abstractNumId w:val="3"/>
  </w:num>
  <w:num w:numId="3" w16cid:durableId="1491403834">
    <w:abstractNumId w:val="0"/>
  </w:num>
  <w:num w:numId="4" w16cid:durableId="201093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1D"/>
    <w:rsid w:val="00015E88"/>
    <w:rsid w:val="00020550"/>
    <w:rsid w:val="00032E7F"/>
    <w:rsid w:val="00042BF3"/>
    <w:rsid w:val="00047D4D"/>
    <w:rsid w:val="000A1026"/>
    <w:rsid w:val="000A10A0"/>
    <w:rsid w:val="000A558E"/>
    <w:rsid w:val="000A577E"/>
    <w:rsid w:val="000C18A1"/>
    <w:rsid w:val="000C44E8"/>
    <w:rsid w:val="000C48AF"/>
    <w:rsid w:val="000D04C8"/>
    <w:rsid w:val="000E32CF"/>
    <w:rsid w:val="00106E7D"/>
    <w:rsid w:val="00111889"/>
    <w:rsid w:val="001137DE"/>
    <w:rsid w:val="0014084E"/>
    <w:rsid w:val="00143A1C"/>
    <w:rsid w:val="0015601F"/>
    <w:rsid w:val="00162CC2"/>
    <w:rsid w:val="00174251"/>
    <w:rsid w:val="001A4E37"/>
    <w:rsid w:val="001B0E24"/>
    <w:rsid w:val="001B5529"/>
    <w:rsid w:val="001B5C17"/>
    <w:rsid w:val="00201EC4"/>
    <w:rsid w:val="002359B1"/>
    <w:rsid w:val="002374D1"/>
    <w:rsid w:val="0024133A"/>
    <w:rsid w:val="0024471D"/>
    <w:rsid w:val="00251172"/>
    <w:rsid w:val="00274D1C"/>
    <w:rsid w:val="00283A02"/>
    <w:rsid w:val="002860CF"/>
    <w:rsid w:val="0028767A"/>
    <w:rsid w:val="002B27EF"/>
    <w:rsid w:val="002B5ABF"/>
    <w:rsid w:val="002C6736"/>
    <w:rsid w:val="002C77E8"/>
    <w:rsid w:val="002D5D11"/>
    <w:rsid w:val="00300232"/>
    <w:rsid w:val="00302167"/>
    <w:rsid w:val="00306C74"/>
    <w:rsid w:val="00314EE4"/>
    <w:rsid w:val="00334CB6"/>
    <w:rsid w:val="0034054B"/>
    <w:rsid w:val="00340CFF"/>
    <w:rsid w:val="00351D6E"/>
    <w:rsid w:val="00356CBF"/>
    <w:rsid w:val="00374474"/>
    <w:rsid w:val="00377047"/>
    <w:rsid w:val="00391AA3"/>
    <w:rsid w:val="0039771E"/>
    <w:rsid w:val="003A24E8"/>
    <w:rsid w:val="003A5092"/>
    <w:rsid w:val="003C156C"/>
    <w:rsid w:val="003E2557"/>
    <w:rsid w:val="003E581D"/>
    <w:rsid w:val="003F324B"/>
    <w:rsid w:val="00402E4B"/>
    <w:rsid w:val="00403914"/>
    <w:rsid w:val="00413DEE"/>
    <w:rsid w:val="00440312"/>
    <w:rsid w:val="00441941"/>
    <w:rsid w:val="00463714"/>
    <w:rsid w:val="00470A2D"/>
    <w:rsid w:val="00485781"/>
    <w:rsid w:val="00491863"/>
    <w:rsid w:val="004A224C"/>
    <w:rsid w:val="004C66B1"/>
    <w:rsid w:val="004D05A2"/>
    <w:rsid w:val="004D39DB"/>
    <w:rsid w:val="004E546F"/>
    <w:rsid w:val="004F59BD"/>
    <w:rsid w:val="004F5F38"/>
    <w:rsid w:val="00523AF8"/>
    <w:rsid w:val="00530491"/>
    <w:rsid w:val="00541B74"/>
    <w:rsid w:val="0055446C"/>
    <w:rsid w:val="00563BDA"/>
    <w:rsid w:val="00580D76"/>
    <w:rsid w:val="00595044"/>
    <w:rsid w:val="00595D18"/>
    <w:rsid w:val="005A6FF2"/>
    <w:rsid w:val="005B3CE3"/>
    <w:rsid w:val="005B45BA"/>
    <w:rsid w:val="005B5FF1"/>
    <w:rsid w:val="005B6B57"/>
    <w:rsid w:val="005C2C93"/>
    <w:rsid w:val="005D1F05"/>
    <w:rsid w:val="005D5A81"/>
    <w:rsid w:val="005E2AB3"/>
    <w:rsid w:val="005F2A8C"/>
    <w:rsid w:val="005F50DE"/>
    <w:rsid w:val="00615151"/>
    <w:rsid w:val="00626630"/>
    <w:rsid w:val="006311D8"/>
    <w:rsid w:val="006460AF"/>
    <w:rsid w:val="0065012C"/>
    <w:rsid w:val="00651273"/>
    <w:rsid w:val="00656547"/>
    <w:rsid w:val="00656A8E"/>
    <w:rsid w:val="006573E9"/>
    <w:rsid w:val="0066132F"/>
    <w:rsid w:val="0066151C"/>
    <w:rsid w:val="006643FE"/>
    <w:rsid w:val="00666572"/>
    <w:rsid w:val="0066672C"/>
    <w:rsid w:val="00693843"/>
    <w:rsid w:val="00693FB4"/>
    <w:rsid w:val="006A2918"/>
    <w:rsid w:val="006A696C"/>
    <w:rsid w:val="006B5A21"/>
    <w:rsid w:val="006B5AE8"/>
    <w:rsid w:val="006B6CBF"/>
    <w:rsid w:val="006B7EC2"/>
    <w:rsid w:val="006C688E"/>
    <w:rsid w:val="006C6B7D"/>
    <w:rsid w:val="006D1F12"/>
    <w:rsid w:val="006E04B9"/>
    <w:rsid w:val="00705555"/>
    <w:rsid w:val="00707A9A"/>
    <w:rsid w:val="00715432"/>
    <w:rsid w:val="00717013"/>
    <w:rsid w:val="00721615"/>
    <w:rsid w:val="00736B8A"/>
    <w:rsid w:val="00740096"/>
    <w:rsid w:val="00741526"/>
    <w:rsid w:val="0074173D"/>
    <w:rsid w:val="00795716"/>
    <w:rsid w:val="007A59B4"/>
    <w:rsid w:val="007B404C"/>
    <w:rsid w:val="007D199C"/>
    <w:rsid w:val="007D3F9C"/>
    <w:rsid w:val="007D7156"/>
    <w:rsid w:val="007F3650"/>
    <w:rsid w:val="0080073B"/>
    <w:rsid w:val="00827C5F"/>
    <w:rsid w:val="0083046B"/>
    <w:rsid w:val="00830F4D"/>
    <w:rsid w:val="008479BC"/>
    <w:rsid w:val="00852056"/>
    <w:rsid w:val="00866F82"/>
    <w:rsid w:val="008703E4"/>
    <w:rsid w:val="008710CD"/>
    <w:rsid w:val="00874CED"/>
    <w:rsid w:val="0088128D"/>
    <w:rsid w:val="0088179C"/>
    <w:rsid w:val="00885503"/>
    <w:rsid w:val="00885F0E"/>
    <w:rsid w:val="00897355"/>
    <w:rsid w:val="008A5D1B"/>
    <w:rsid w:val="008B1162"/>
    <w:rsid w:val="008B5848"/>
    <w:rsid w:val="008C43BA"/>
    <w:rsid w:val="008D207F"/>
    <w:rsid w:val="008D2297"/>
    <w:rsid w:val="008D6B0C"/>
    <w:rsid w:val="008D6DA3"/>
    <w:rsid w:val="00906590"/>
    <w:rsid w:val="00906EFA"/>
    <w:rsid w:val="00917061"/>
    <w:rsid w:val="00924242"/>
    <w:rsid w:val="009271AA"/>
    <w:rsid w:val="009317C5"/>
    <w:rsid w:val="00932E38"/>
    <w:rsid w:val="0095039C"/>
    <w:rsid w:val="00950D63"/>
    <w:rsid w:val="00957F50"/>
    <w:rsid w:val="0096494A"/>
    <w:rsid w:val="00971131"/>
    <w:rsid w:val="0099238F"/>
    <w:rsid w:val="009B7C5F"/>
    <w:rsid w:val="009C2FB3"/>
    <w:rsid w:val="009D5BFE"/>
    <w:rsid w:val="009F241F"/>
    <w:rsid w:val="009F3CC4"/>
    <w:rsid w:val="00A000FF"/>
    <w:rsid w:val="00A33479"/>
    <w:rsid w:val="00A36FD3"/>
    <w:rsid w:val="00A412BC"/>
    <w:rsid w:val="00A41A18"/>
    <w:rsid w:val="00A41EA9"/>
    <w:rsid w:val="00A4519E"/>
    <w:rsid w:val="00A47771"/>
    <w:rsid w:val="00A54476"/>
    <w:rsid w:val="00A55632"/>
    <w:rsid w:val="00A66132"/>
    <w:rsid w:val="00A72273"/>
    <w:rsid w:val="00A75779"/>
    <w:rsid w:val="00A81419"/>
    <w:rsid w:val="00A8618B"/>
    <w:rsid w:val="00A87D60"/>
    <w:rsid w:val="00A931D2"/>
    <w:rsid w:val="00A95601"/>
    <w:rsid w:val="00AA0845"/>
    <w:rsid w:val="00AA0EA6"/>
    <w:rsid w:val="00AA5C15"/>
    <w:rsid w:val="00AB522C"/>
    <w:rsid w:val="00AB5B91"/>
    <w:rsid w:val="00AB6165"/>
    <w:rsid w:val="00AC249F"/>
    <w:rsid w:val="00AC27F2"/>
    <w:rsid w:val="00AC3AC0"/>
    <w:rsid w:val="00AC6D6F"/>
    <w:rsid w:val="00AD0512"/>
    <w:rsid w:val="00AD147A"/>
    <w:rsid w:val="00AD7678"/>
    <w:rsid w:val="00AE048C"/>
    <w:rsid w:val="00AF1EDE"/>
    <w:rsid w:val="00B1705E"/>
    <w:rsid w:val="00B25FFA"/>
    <w:rsid w:val="00B61943"/>
    <w:rsid w:val="00B61BF1"/>
    <w:rsid w:val="00B73BA7"/>
    <w:rsid w:val="00B743E4"/>
    <w:rsid w:val="00B80883"/>
    <w:rsid w:val="00B80ACF"/>
    <w:rsid w:val="00B9579C"/>
    <w:rsid w:val="00BA490A"/>
    <w:rsid w:val="00BB2F28"/>
    <w:rsid w:val="00BC2F00"/>
    <w:rsid w:val="00BD1B45"/>
    <w:rsid w:val="00BF36A9"/>
    <w:rsid w:val="00BF3E90"/>
    <w:rsid w:val="00BF4FFE"/>
    <w:rsid w:val="00BF6EF0"/>
    <w:rsid w:val="00C01CA8"/>
    <w:rsid w:val="00C21193"/>
    <w:rsid w:val="00C350C7"/>
    <w:rsid w:val="00C409F8"/>
    <w:rsid w:val="00C57028"/>
    <w:rsid w:val="00C57610"/>
    <w:rsid w:val="00C638FE"/>
    <w:rsid w:val="00C72597"/>
    <w:rsid w:val="00C7340A"/>
    <w:rsid w:val="00C83A65"/>
    <w:rsid w:val="00C87048"/>
    <w:rsid w:val="00CB3D77"/>
    <w:rsid w:val="00CD2B40"/>
    <w:rsid w:val="00CF17DE"/>
    <w:rsid w:val="00D03B5E"/>
    <w:rsid w:val="00D134A6"/>
    <w:rsid w:val="00D407C2"/>
    <w:rsid w:val="00D427A6"/>
    <w:rsid w:val="00D6284C"/>
    <w:rsid w:val="00D77F73"/>
    <w:rsid w:val="00DA3410"/>
    <w:rsid w:val="00DC7D00"/>
    <w:rsid w:val="00DD1051"/>
    <w:rsid w:val="00DD2A28"/>
    <w:rsid w:val="00DE2FC0"/>
    <w:rsid w:val="00DE4A85"/>
    <w:rsid w:val="00DE5D94"/>
    <w:rsid w:val="00DF60DB"/>
    <w:rsid w:val="00DF6870"/>
    <w:rsid w:val="00E01508"/>
    <w:rsid w:val="00E125BE"/>
    <w:rsid w:val="00E130A7"/>
    <w:rsid w:val="00E1329A"/>
    <w:rsid w:val="00E2093E"/>
    <w:rsid w:val="00E27245"/>
    <w:rsid w:val="00E46447"/>
    <w:rsid w:val="00E46EF0"/>
    <w:rsid w:val="00E722C0"/>
    <w:rsid w:val="00E81EEB"/>
    <w:rsid w:val="00E82648"/>
    <w:rsid w:val="00E930F3"/>
    <w:rsid w:val="00ED0D02"/>
    <w:rsid w:val="00ED2A0A"/>
    <w:rsid w:val="00EF5D8D"/>
    <w:rsid w:val="00F01130"/>
    <w:rsid w:val="00F12371"/>
    <w:rsid w:val="00F126BC"/>
    <w:rsid w:val="00F213E4"/>
    <w:rsid w:val="00F231C6"/>
    <w:rsid w:val="00F559A2"/>
    <w:rsid w:val="00F7458D"/>
    <w:rsid w:val="00F74B0E"/>
    <w:rsid w:val="00F837E9"/>
    <w:rsid w:val="00F853AE"/>
    <w:rsid w:val="00F939D3"/>
    <w:rsid w:val="00F96FEB"/>
    <w:rsid w:val="00FB4C9C"/>
    <w:rsid w:val="00FC42FA"/>
    <w:rsid w:val="00FD1890"/>
    <w:rsid w:val="00FF3223"/>
    <w:rsid w:val="00FF37BE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F6878"/>
  <w15:docId w15:val="{2679A1FD-9FBA-420A-A832-D2452600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03E4"/>
    <w:pPr>
      <w:spacing w:line="480" w:lineRule="auto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rsid w:val="008703E4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A6F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6FF2"/>
  </w:style>
  <w:style w:type="paragraph" w:styleId="Header">
    <w:name w:val="header"/>
    <w:basedOn w:val="Normal"/>
    <w:rsid w:val="005A6FF2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E32CF"/>
    <w:pPr>
      <w:autoSpaceDE w:val="0"/>
      <w:autoSpaceDN w:val="0"/>
      <w:adjustRightInd w:val="0"/>
    </w:pPr>
    <w:rPr>
      <w:rFonts w:ascii="MIBCGI+Arial,Bold" w:eastAsia="Times New Roman" w:hAnsi="MIBCGI+Arial,Bold" w:cs="MIBCGI+Arial,Bold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251172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251172"/>
    <w:rPr>
      <w:rFonts w:ascii="Courier New" w:eastAsia="Times New Roman" w:hAnsi="Courier New"/>
    </w:rPr>
  </w:style>
  <w:style w:type="character" w:customStyle="1" w:styleId="BodyTextChar">
    <w:name w:val="Body Text Char"/>
    <w:basedOn w:val="DefaultParagraphFont"/>
    <w:link w:val="BodyText"/>
    <w:rsid w:val="00251172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9C"/>
    <w:rPr>
      <w:rFonts w:ascii="Segoe UI" w:hAnsi="Segoe UI" w:cs="Segoe UI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7F3650"/>
    <w:rPr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162C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C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C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artisanspiritmag/docs/artisanspirit_issue044_w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61855/JDS0301.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M109 AMERICAN MALTING BARLEY ASSOCIATION, INC</vt:lpstr>
    </vt:vector>
  </TitlesOfParts>
  <Company>University of Minnesota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M109 AMERICAN MALTING BARLEY ASSOCIATION, INC</dc:title>
  <dc:creator>Kevin P. Smith</dc:creator>
  <cp:lastModifiedBy>Hayes, Patrick</cp:lastModifiedBy>
  <cp:revision>2</cp:revision>
  <cp:lastPrinted>2019-08-26T20:57:00Z</cp:lastPrinted>
  <dcterms:created xsi:type="dcterms:W3CDTF">2024-03-28T19:02:00Z</dcterms:created>
  <dcterms:modified xsi:type="dcterms:W3CDTF">2024-03-28T19:02:00Z</dcterms:modified>
</cp:coreProperties>
</file>